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Arrojado · decisão de 02/01/2019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15%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85% do alvo; severo: 20%/50% → 60%;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2019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17,90%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31,27%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160,8%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47,8%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17,07%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9,78%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62,0%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38,4%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CSNA3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14,97%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13,6%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49,4%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IRBR3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166,7%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27,4%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4,26%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0,917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148,2%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39,9%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2019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Arrojado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36,71%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39,87%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5,72%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31,95%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106,0%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-0,1%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CSNA3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64,1%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IRBR3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44,9%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4,4%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