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AZUL4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78,0%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17,58%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92,2%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41,5%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12,12%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50,9%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23,1%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5,21%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63,5%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22,5%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4,70%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3,21%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14,2%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30,3%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7,64%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49,93%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2,29%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2,88%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AZUL4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-32,0%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46,6%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-12,4%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-0,4%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13,1%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