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27,34%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19,21%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4,89%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59,4%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8,72%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7,52%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11,1%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199,8%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53,1%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2,36%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55,66%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10,43%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-10,36%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15,1%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-15,9%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