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04/01/2016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-22,5%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4,04%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3,56%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2,04%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-48,1%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1,10%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2,64%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-30,1%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2,30%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-14,5%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RADL3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1,76%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23,8%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0,77%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0,636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35,9%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20,33%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-5,38%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13,32%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38,93%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28,1%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98,9%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49,5%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68,4%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RADL3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75,8%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-1,8%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