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02/01/2018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2018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513,5%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70,3%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3,72%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44,3%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23,2%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3,53%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2,65%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121,9%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28,8%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3,08%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58,8%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46,7%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2,53%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3,70%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38,0%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2,46%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0,886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11,6%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2,07%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0,864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41,3%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22,4%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1,66%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0,841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127,8%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45,7%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BBDC3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1,50%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GRND3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1,07%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0,727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75,0%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28,7%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1,06%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38,3%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16,9%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EGIE3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0,97%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0,682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18,1%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14,31%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9,12%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6,13%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15,03%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129,0%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45,4%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23,7%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61,2%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7,6%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26,2%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14,8%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BBDC3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19,4%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GRND3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-11,0%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-26,8%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EGIE3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36,3%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