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6,30%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2,86%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2,57%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57,5%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3,15%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58,7%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BMGB4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JHSF3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73,6%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B3SA3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6,83%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BMGB4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JHSF3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B3SA3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