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03/01/2022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516,4%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3,37%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50,7%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VALE3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ENAT3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57,2%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SIMH3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60,2%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-23,40%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VALE3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ENAT3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SIMH3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-35,0%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