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79,0%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3,84%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44,0%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3,01%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3,31%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34,5%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51,9%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74,6%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PRIO3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85,6%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RECV3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1,55%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93,8%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PETR3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47,3%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1,75%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-40,2%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FESA4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42,9%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0,61%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4,84%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0,854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28,3%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16,54%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13,85%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12,74%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-6,2%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PRIO3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25,5%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RECV3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-30,2%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PETR3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88,2%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33,4%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FESA4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-4,6%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