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Equilibrado · decisão de 04/01/2016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8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11%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70% do alvo; severo: 20%/50% → 40%;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-50,6%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-22,5%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8,11%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5,02%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-48,1%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43,9%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ENBR3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4,23%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3,28%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3,12%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4,96%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-11,2%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31,0%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28,6%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BBAS3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2,70%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0,788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-30,1%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48,1%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Equilibrado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27,66%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-5,38%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13,32%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38,93%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98,9%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SMLE3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28,1%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49,5%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ENBR3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20,0%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LREN3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46,5%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EQTL3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68,4%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BBAS3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106,4%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