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78,0%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7,94%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4,85%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4,63%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2,81%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LIGT3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46,1%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BPAN4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476,7%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4,74%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30,8%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49,93%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2,88%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LIGT3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BPAN4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-77,7%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