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5,11%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51,9%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74,6%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1,75%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85,6%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93,8%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49,6%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19,00%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13,85%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12,74%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25,5%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-30,2%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