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6,05%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59,4%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13,84%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6,03%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122,8%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5,50%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2,73%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11,1%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4,03%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199,8%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53,1%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3,64%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0,944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65,7%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9,18%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228,6%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69,0%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5,50%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55,66%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10,43%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-10,36%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-42,5%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15,1%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PLPL3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-15,9%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LEVE3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-13,6%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-4,3%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-10,9%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