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vigente declara três perfis,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é um fluxo verificável que separa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controle de data de recebimento a justificativa fica contaminada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identificado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reúne um protocolo reexecutável e um fluxo que preserva quem decidiu, com qual informação e política. O retorno passado mede o comportamento do protótipo, não sua utilidade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agosto de 2026 o sistema opera sob uma política declarada. Em lugar de buscar a melhor configuração a cada ano, ela fixa três, congeladas antes da avaliação prospectiva: o conservador aloca 35% do patrimônio em renda variável entre doze emissores; o equilibrado, 55% entre oito; o arrojado, 75% entre cinco. Em todos, um quinto do orçamento de renda variável fica no IVVB11, fundo na B3 que replica o S&amp;P 500 em reais, definido pela política e não pelo escore; o saldo fica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sem nova versão e nova contagem. Uma quarta versão (30/08/2026) acrescentou um degrau de 4%, fora desta avaliação.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bruto: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deduzido: toda taxa anualizada aqui é bruta de imposto. O modelo aplica 15% sobre ganho em renda variável e 17,5% sobre renda fixa de 361 a 720 dias, no ano da revisão que realiza o ganho, com liquidação integral no último ano.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ou seja, a estratégia estava sendo comparada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cruzou, por ano, a política escolhida, os pesos e o tipo de reconstrução de cada série, e mede a parcela da exposição acumulada a ações que dependeu de provento imputado. Dois testes de sensibilidade complementam a inspeção: a reamostragem conjunta dos vetores anuais de estratégia e comparadores, com 100 mil amostras e semente registrada, que mede estabilidade interna sem criar crises novas; e perdas hipotéticas de 10, 25, 50 e 100 pontos percentuais aplicadas somente à parcela investida em séries imputadas, que mostram quanto o resultado depende dessa hipótese.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quatro registros: o módulo de seleção anual, em 16 de agosto de 2026; a camada de proteção e o protocolo de acompanhamento, depois das respectivas mudanças; a política por perfil, em 25 de agosto; e a revisão do instrumento de caixa, em 26 de agosto, que é a que governa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de 17,86% para 16,78%; com 25 pontos, para 15,11%; com 50, para 12,16%; com 100, para 5,41%. A carteira deixa de superar o Ibovespa quando a penalização chega a cerca de 53 pontos percentuais, e o CDI, perto de 70. O teste mostra margem econômica, mas não repara o dado: como metade da carteira de 2020 dependeu de séries imputadas, o retorno histórico permanece diagnóstico até a reconciliação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camada de proteção reduz a exposição após estresse de queda e volatilidade do Ibovespa. No histórico da série de desenvolvimento, a queda máxima recuou de 47,8% para 28,7%. A configuração escolhida somente com 2015–2018 também elevou o retorno anualizado de 17,86% para 18,45%, mas a diferença anual de retorno em 2019–2025 não foi detectável (p = 0,964). Para R$ 100 mil, a estimativa agregada do imposto incremental das reduções foi de R$ 2.195, levando o valor terminal estimado de R$ 643.774 para R$ 634.531, antes da tributação já pertencente à revisão anual. A camada integra a política declarada da Seção 3.4;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consultorias, gestores patrimoniais e escritórios multifamiliares. A política aplicada, os dados e seus hashes, a elegibilidade, os pesos, as ordens, o custo estimado e a aprovação permanecem ligados à mesma decisão, o que reduz o tempo de reconstrução e permite responder por que um papel entrou e por que outro ficou de fora. O valor a testar está na consistência do processo e na capacidade de revisão, não em promessa de superar o mercado.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 demonstrações estavam disponíveis e quais passaram na validação; a triagem mostra aprovados e reprovados com o respectivo motivo; a carteira candidata apresenta pesos, parcela defensiva, custo e comparação com CDI, Ibovespa e MVO. O profissional revisa a tese, registra riscos, aprova ou rejeita a proposta e informa a justificativa, e o dossiê final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 o sistema acompanha poucas carteiras sem enviar ordens, e os dossiês são confrontados com o processo vigente; a conciliação de custos e posições fecha o ciclo entre proposta e execução. O piloto medirá tempo, completude da evidência, revisões, divergência de custos e disposição a pagar. O produto permanece em protótipo reprodutível: a janela descreve a amostra, e a avaliação prospectiva começa nos registros congelados,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recebem, em casos identificados, distribuição imputada pela mediana transversal do ano, fragilidade que atingiu 13,9% da exposição acumulada a ações e 50% da carteira de 2020.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desenvolvimento, a queda máxima diária chegou a 47,8%, ligeiramente pior que os 47,0% do Ibovespa; a camada de proteção reduziu essa marca retrospectiva para 28,7%, mas foi concebida depois da Covid-19 e ainda não demonstrou benefício prospectivo; o imposto de renda variável é apurado por ativo e custo médio; resta conciliar com notas de corretagem. A política vigente limita a exposição por perfil, com quedas máximas retrospectivas entre 9,2% e 28,9%, mas seus parâmetros também foram definidos com conhecimento da amostra e só a janela confirmatória poderá qualificá-los.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superaram o caixa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