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 WEALTH SYSTEM: GOVERNANÇA AUDITÁVEL DE CARTEIRAS PARA ESCRITÓRIOS DE INVESTIMENTO DO ESPÍRITO SANTO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Escritórios de investimento precisam explicar uma carteira meses depois de montá-la: quais dados estavam disponíveis, qual regra foi aplicada e quem aprovou a decisão. Este trabalho constrói e avalia o Benevente Wealth System, software de apoio à decisão que produz a proposta de carteira e o respectivo registro de auditoria no mesmo fluxo. A pesquisa combina design science, escolha anual de configuração somente com anos já encerrados e teste histórico sequencial. Foram avaliadas onze decisões, de 2015 a 2025, em um painel reconstruído da B3 que preserva 166 emissores que deixaram de negociar antes do fim da amostra. O Benevente 1 rendeu 17,86% ao ano após custos e 16,03% após imposto, contra 11,77% do Ibovespa, 9,61% do CDI e 7,83% de uma otimização média-variância independente. Uma extensão experimental, Benevente 2, reduziu a queda máxima de 47,8% para 28,7%, mas não demonstrou retorno adicional no recorte de 2019 a 2025. O experimento também rejeitou previsão anual de regime, realocações frequentes e o uso do modelo de linguagem como fonte de retorno. A contribuição é um processo verificável que separa dados, regra quantitativa, alocação, explicação e aprovação humana.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Este trabalho parte de uma hipótese de mercado a ser validada no piloto: escritórios do Espírito Santo que mantêm o relacionamento com famílias e empresas locais podem depender de infraestrutura de decisão produzida fora do estado. O problema proposto não é falta de competência analítica. É a ausência de uma ferramenta que produza, no ato da recomendação, o registro que a recomendação vai exigir depois. A pesquisa ainda não mede o tamanho desse mercado, a disposição a pagar ou a taxa de adoção. Portanto, retenção de capital e geração de negócios no estado são resultados esperados do produto, não resultados já comprovados.</w:t>
      </w:r>
    </w:p>
    <w:p>
      <w:pPr>
        <w:pStyle w:val="Normal"/>
      </w:pPr>
      <w:r>
        <w:t>O problema é concreto e tem data. Quando um cliente pergunta em 2026 por que determinada ação entrou na carteira em janeiro de 2023, o escritório precisa demonstrar três coisas simultaneamente.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data. Um balanço republicado em 2024 não pode aparecer como se estivesse disponível em janeiro de 2023. Sem controle de data de recebimento, todo backtest e toda justificativa ficam contaminados por informação que ninguém tinha.</w:t>
      </w:r>
    </w:p>
    <w:p>
      <w:pPr>
        <w:pStyle w:val="Normal"/>
        <w:ind w:firstLine="0"/>
        <w:numPr>
          <w:ilvl w:val="0"/>
          <w:numId w:val="3"/>
        </w:numPr>
      </w:pPr>
      <w:r>
        <w:t>Qual regra foi aplicada. Não a regra que o escritório usa hoje, mas a que estava vigente naquele janeiro, com os limites que estavam vigentes.</w:t>
      </w:r>
    </w:p>
    <w:p>
      <w:pPr>
        <w:pStyle w:val="Normal"/>
        <w:ind w:firstLine="0"/>
        <w:numPr>
          <w:ilvl w:val="0"/>
          <w:numId w:val="3"/>
        </w:numPr>
      </w:pPr>
      <w:r>
        <w:t>Quem aprovou. Uma decisão de alocação sem responsável identificado não é auditável, e a automação sem aprovação humana desloca a responsabilidade para um sistema que não pode respondê-la.</w:t>
      </w:r>
    </w:p>
    <w:p>
      <w:pPr>
        <w:pStyle w:val="Normal"/>
      </w:pPr>
      <w:r>
        <w:t>Planilhas falham nas três: sobrescrevem o estado anterior, misturam regra e dado, e não guardam autoria. Plataformas de terceiros costumam responder à segunda pergunta com uma caixa fechada, entregando ao escritório a carteira e não o critério. Nenhuma das duas alternativas serve a quem responde pela decisão.</w:t>
      </w:r>
    </w:p>
    <w:p>
      <w:pPr>
        <w:pStyle w:val="Normal"/>
      </w:pPr>
      <w:r>
        <w:t>A questão que orienta este trabalho é, portanto, de engenharia e de governança antes de ser de finanças: como construir um artefato que produza recomendação e prova ao mesmo tempo, e cuja própria evidência de desempenho resista a auditoria hostil?</w:t>
      </w:r>
    </w:p>
    <w:p>
      <w:pPr>
        <w:pStyle w:val="Normal"/>
      </w:pPr>
      <w:r>
        <w:t>O objetivo é materializar e avaliar esse artefato para o contexto B2B de escritórios de investimento. O método segue a lógica de design science: identificar o problema, explicitar os requisitos, construir o artefato e avaliá-lo por utilidade, qualidade e capacidade de produzir evidência (Hevner et al., 2004; Peffers et al., 2007). A avaliação financeira não é uma demonstração comercial isolada. Ela executa, ano após ano, uma regra registrada antes do retorno seguinte, cobra custos, compara referências independentes e mede quanto a escolha retrospectiva teria melhorado o resultado. A contribuição é dupla: um protocolo quantitativo auditável e um fluxo de trabalho capaz de transformar cada recomendação em documento verificável para revisão humana.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inicial do Benevente são escritórios de investimento, consultorias de valores mobiliários e estruturas de gestão patrimonial que precisam recomendar, revisar e defender carteiras. Nesse ambiente, a dificuldade não termina quando o peso de cada ativo é calculado. A instituição precisa preservar o contexto da decisão, demonstrar por que um ativo foi aceito ou recusado e comparar o resultado com alternativas reconhecíveis pelo cliente. Para uma operação capixaba, dominar esse processo também reduz a dependência de infraestrutura analítica produzida fora do estado. Trata-se de uma hipótese de valor a ser testada em campo, não de um impacto econômico já observado.</w:t>
      </w:r>
    </w:p>
    <w:p>
      <w:pPr>
        <w:pStyle w:val="Normal"/>
      </w:pPr>
      <w:r>
        <w:t>Três problemas metodológicos bem documentados na literatura de finanças quantitativas foram tratados como requisitos de projeto, não como ressalvas de rodapé.</w:t>
      </w:r>
    </w:p>
    <w:p>
      <w:pPr>
        <w:pStyle w:val="Normal"/>
      </w:pPr>
      <w:r>
        <w:t>Viés de sobrevivência. Painéis montados a partir de provedores públicos de preço ajustado servem as empresas que ainda existem. Reconstruir o universo a partir de um provedor desses apaga silenciosamente toda empresa deslistada, adquirida ou liquidada, justamente as que produziram os piores retornos. O efeito é sistemático e sempre favorável ao backtest.</w:t>
      </w:r>
    </w:p>
    <w:p>
      <w:pPr>
        <w:pStyle w:val="Normal"/>
      </w:pPr>
      <w:r>
        <w:t>Informação disponível na data. Fundamentos precisam ser lidos como estavam no momento da decisão, com data de recebimento pelo regulador, não com a versão consolidada e eventualmente republicada. Chamar isso de detalhe é subestimar o problema: a diferença aparece com sinal previsível, sempre a favor de quem testa.</w:t>
      </w:r>
    </w:p>
    <w:p>
      <w:pPr>
        <w:pStyle w:val="Normal"/>
      </w:pPr>
      <w:r>
        <w:t>Múltiplas tentativas. Quando se avaliam dezenas de configurações e se publica a melhor, o índice de Sharpe observado é enviesado para cima pela própria busca. Bailey e López de Prado formalizaram o problema com o Sharpe deflacionado, que corrige a estatística pelo número de tentativas e pelos momentos superiores da distribuição de retornos. Sem essa correção, qualquer busca suficientemente ampla produz um vencedor aparentemente significativo.</w:t>
      </w:r>
    </w:p>
    <w:p>
      <w:pPr>
        <w:pStyle w:val="Normal"/>
      </w:pPr>
      <w:r>
        <w:t>Quatro referências clássicas orientam a construção financeira do artefato. Markowitz (1952) mostrou que uma carteira precisa ser analisada pela interação entre retornos e covariâncias, e não pela atratividade isolada de cada ativo. No Benevente, essa contribuição aparece de duas formas. A primeira é a exigência de uma cesta, em vez de uma aposta única no maior escore. A segunda é o comparador MVO, que pergunta quanto uma alocação baseada apenas em média, covariância e limites teria produzido sobre o mesmo universo. O comparador não serve para validar automaticamente a estratégia; serve para impedir que um ganho atribuído ao filtro fundamental seja apenas efeito de diversificação quantitativa. A ênfase em qualidade também dialoga com Novy-Marx (2013), enquanto o uso conjunto de valor, qualidade e confirmação de mercado se aproxima da lógica multifatorial de Fama e French (2015), sem pretender reproduzir exatamente seus fatores.</w:t>
      </w:r>
    </w:p>
    <w:p>
      <w:pPr>
        <w:pStyle w:val="Normal"/>
      </w:pPr>
      <w:r>
        <w:t>Black e Litterman (1992) tratam da combinação entre equilíbrio de mercado e visões. A arquitetura do Benevente adota a separação conceitual, mas não implementa o modelo Black–Litterman como carteira publicada. Fatos fundamentais e sinais de mercado geram um ranking determinístico. A linguagem natural pode explicar a visão, registrar riscos e formular perguntas, porém não altera a matemática da alocação. Essa fronteira permite testar a camada de linguagem sem conceder a ela poder para mudar restrições ou reconstruir retrospectivamente a tese.</w:t>
      </w:r>
    </w:p>
    <w:p>
      <w:pPr>
        <w:pStyle w:val="Normal"/>
      </w:pPr>
      <w:r>
        <w:t>DeMiguel, Garlappi e Uppal (2009) demonstram como erro de estimação pode eliminar, fora da amostra, a vantagem aparente de métodos sofisticados sobre uma diversificação simples. A resposta do projeto não é presumir que um otimizador sempre melhora o resultado. É publicar uma referência independente, impor um número mínimo de posições, limitar a interpretação das métricas e comparar decisões em sequência temporal. O resultado de 7,83% ao ano do MVO de referência nesta execução não prova que MVO é inferior em geral. Mostra somente que aquela implementação, com aquele universo elegível e aquelas estimativas disponíveis em cada janeiro, produziu esse caminho. Em outra amostra ou especificação, a ordem pode se inverter.</w:t>
      </w:r>
    </w:p>
    <w:p>
      <w:pPr>
        <w:pStyle w:val="Normal"/>
      </w:pPr>
      <w:r>
        <w:t>Novy-Marx e Velikov (2016) mostram que custos de negociação podem consumir anomalias documentadas. Por isso, o retorno usado na manchete já deduz taxas e deslizamento modelado, e a busca penaliza trocas de configuração. O sistema mede giro, participação no volume e realização tributável, em vez de tratar toda mudança de peso como gratuita. Ainda assim, uma estimativa não é uma nota de corretagem. O produto prevê conciliação posterior exatamente porque o custo observado depende do tamanho, do horário, da liquidez e da qualidade de execução de cada instituição.</w:t>
      </w:r>
    </w:p>
    <w:p>
      <w:pPr>
        <w:pStyle w:val="Normal"/>
      </w:pPr>
      <w:r>
        <w:t>Essas escolhas definem o tipo de evidência que o trabalho pode produzir. O backtest é um experimento histórico sobre um protocolo e não uma simulação da experiência individual de todo cliente. Suitability, necessidade de liquidez, tributação específica, ativos já detidos e restrições contratuais podem mudar a carteira implementável. Por isso, o artefato separa três objetos que costumam aparecer misturados: a regra acadêmica usada para medir o sinal; a política institucional que limita o risco; e o texto explicativo que ajuda uma pessoa a revisar a decisão. Uma boa curva não substitui nenhum dos três.</w:t>
      </w:r>
    </w:p>
    <w:p>
      <w:pPr>
        <w:pStyle w:val="Normal"/>
      </w:pPr>
      <w:r>
        <w:t>O posicionamento do artefato decorre desses três pontos. O Benevente não compete em promessa de retorno. Compete em verificabilidade. Qualquer concorrente exibe uma curva ascendente, e a pergunta que raramente é respondida é quanto daquela curva vem de ter escolhido a regra depois de ver o resultado. Este trabalho mede esse valor e o publica.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Wealth System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A consequência é direta e mensurável. O painel construído cobre 514 emissores entre 2010 e 2025, dos quais 166 deixam de negociar antes de dezembro de 2025, 77 deles antes de 2020, e 58 já haviam perdido mais de 60% do próprio topo quando pararam de negociar. Um painel montado a partir de provedor público simplesmente não contém essas empresas. A diferença entre incluí-las e não incluí-las é a diferença entre medir a estratégia e medir a sorte de ter olhado só para os sobreviventes.</w:t>
      </w:r>
    </w:p>
    <w:p>
      <w:pPr>
        <w:pStyle w:val="Normal"/>
      </w:pPr>
      <w:r>
        <w:t>Preços deslistados exigem tratamento de eventos societários sem a ajuda do provedor, que já não serve esses papéis. O sistema detecta desdobramentos, grupamentos e bonificações grandes a partir de razões de preço redondas e persistentes no arquivo da bolsa. O detector foi validado contra o arquivo de eventos de um provedor, no subconjunto de papéis em que esse arquivo existe, e os dois lados da validação são publicados: precisão de 88,1%, com 340 de 386 ajustes aplicados coincidindo com um evento confirmado, e recall de 23,3%, com 103 de 443 eventos do provedor detectados. O recall baixo é uma limitação real e está declarada. O detector é conservador por construção, e prefere não ajustar a ajustar errado. Publicar apenas a precisão seria omitir metade do resultado.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ano, e sua cobertura é publicada em vez de suposta. Em 2012, primeiro ano da série, 266 de 314 ações tiveram ponte aceita e 171 tiveram fundamentos completos, porque a série do ITR começa em 2011 e 2012 é o primeiro ano em que a construção de doze meses tem os dois lados disponíveis.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ao escritório responder por que um papel conhecido não entrou, pergunta que aparece com a mesma frequência da inversa.</w:t>
      </w:r>
    </w:p>
    <w:p>
      <w:pPr>
        <w:pStyle w:val="Normal"/>
      </w:pPr>
      <w:r>
        <w:t>O foco econômico é uma análise fundamentalista multifatorial. Qualidade procura empresas capazes de remunerar o capital e sustentar a operação; valor procura um preço coerente com lucros, patrimônio ou geração de caixa; momento de doze meses funciona como confirmação de mercado e reduz a compra mecânica de uma empresa barata que continua deteriorando. Liquidez determina se a tese é executável. Bancos e empresas operacionais recebem métricas diferentes porque dívida e margem operacional não significam a mesma coisa nos dois balanços. O retorno histórico entra como fator complementar, não substitui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A configuração completa — família de fatores, número de posições e orçamento de ações — é escolhida anualmente pelo desempenho ajustado ao risco nos anos já encerrados. A otimização média-variância não define essa carteira. Ela é calculada de modo independente, sobre o mesmo universo elegível, para medir o que uma carteira puramente quantitativa de média e covariância teria produzido.</w:t>
      </w:r>
    </w:p>
    <w:p>
      <w:pPr>
        <w:pStyle w:val="Normal"/>
      </w:pPr>
      <w:r>
        <w:t>Essa separação também resolve a ambiguidade entre os nomes. Benevente Quant AI designa a pesquisa acadêmica, inclusive o experimento que combina um modelo de linguagem com um solver convexo. Benevente Wealth System designa o produto B2B de governança que entrega proposta, explicação e registro. A carteira histórica publicada é a regra multifatorial determinística. O modelo de linguagem não seleciona ativo e não escreve peso; seu papel é transformar fatos aprovados em tese, riscos e perguntas para revisão humana.</w:t>
      </w:r>
    </w:p>
    <w:p>
      <w:pPr>
        <w:pStyle w:val="Normal"/>
      </w:pPr>
      <w:r>
        <w:t>O método é divulgado sem expor o código da aplicação comercial. No fator triplo, o escore é 0,40 vezes o escore padronizado da qualidade, 0,40 vezes o escore padronizado do inverso do preço/lucro e 0,20 vezes o escore padronizado do retorno dos 12 meses anteriores. Qualidade é ROIC para empresas operacionais e ROE para instituições financeiras. A triagem exige histórico de preço, liquidez média mínima, qualidade primária de pelo menos 8% e lucro positivo. Os candidatos alternativos são valor e qualidade por média de postos percentuais, momento de 12 meses e baixa volatilidade de 12 meses. A grade contém 36 combinações: orçamento de ações de 55%, 75% ou 95%; 5, 8 ou 12 emissores; e quatro famílias de sinal. O teto por emissor é o menor valor entre 25% e 1,6 vez a divisão uniforme do orçamento de ações pelo número de posições. Pesos do fator triplo são proporcionais ao escore deslocado para valores positivos e redistribuídos por preenchimento sucessivo quando um emissor atinge o teto. A configuração completa e a transformação de cada campo permanecem disponíveis nos artefatos legíveis por máquina, enquanto cada arquivo de entrada e saída recebe SHA-256. Assim, o estudo é replicável sem transformar a interface do produto em documentação de código.</w:t>
      </w:r>
    </w:p>
    <w:p>
      <w:pPr>
        <w:pStyle w:val="Heading2"/>
      </w:pPr>
      <w:r>
        <w:t>3.4 POR QUE A DECISÃO É ANUAL</w:t>
      </w:r>
    </w:p>
    <w:p>
      <w:pPr>
        <w:pStyle w:val="Normal"/>
      </w:pPr>
      <w:r>
        <w:t>A cadência anual é uma hipótese coerente com a natureza do sinal e, neste estudo, uma escolha empiricamente testada. Qualidade, retorno sobre capital, alavancagem e geração de caixa são grandezas divulgadas em ciclos contábeis e cuja tese econômica precisa de tempo para aparecer no preço. Uma troca mensal baseada nelas pode vender uma empresa antes que a melhora operacional seja reconhecida e aumenta o número de decisões que precisam ser justificadas. A revisão em janeiro também cria uma fronteira operacional simples: tudo o que foi publicado até a data pode entrar; tudo o que veio depois pertence ao próximo ciclo.</w:t>
      </w:r>
    </w:p>
    <w:p>
      <w:pPr>
        <w:pStyle w:val="Normal"/>
      </w:pPr>
      <w:r>
        <w:t>Anual não significa que o sistema ignora o risco durante doze meses. Preços, concentração, liquidez e eventos materiais podem ser monitorados continuamente, e uma política institucional pode prever um gatilho extraordinário. Significa apenas que a reseleção sistemática da cesta acontece uma vez por ano. No teste de robustez, mantendo regra e dados constantes, a reseleção anual superou as versões trimestral e mensal antes mesmo dos custos. Com apenas onze anos pareados, isso não prova que a frequência anual seja universalmente ótima; mostra que não houve evidência para substituir a regra mais simples nesta amostra.</w:t>
      </w:r>
    </w:p>
    <w:p>
      <w:pPr>
        <w:pStyle w:val="Normal"/>
      </w:pPr>
      <w:r>
        <w:t>Notícias não entram no modelo atual. Esse limite é intencional: um estudo com notícias exige arquivo histórico licenciado, horário de publicação, deduplicação e uma data de corte verificável para o modelo de linguagem. Misturar notícias retrospectivamente ao protocolo anual criaria uma nova oportunidade de usar informação futura. O estudo futuro adequado é um braço separado, pré-registrado, com revisão trimestral ou por evento e notícias carimbadas no tempo, comparado à regra anual sem alterar esta última.</w:t>
      </w:r>
    </w:p>
    <w:p>
      <w:pPr>
        <w:pStyle w:val="Heading2"/>
      </w:pPr>
      <w:r>
        <w:t>3.5 CUSTOS, IMPOSTO E EXECUÇÃO</w:t>
      </w:r>
    </w:p>
    <w:p>
      <w:pPr>
        <w:pStyle w:val="Normal"/>
      </w:pPr>
      <w:r>
        <w:t>Retorno bruto não é resultado. O sistema modela três parcelas.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relativo ao volume médio diário do papel. Uma ordem grande em papel ilíquido custa mais, como custa na prática.</w:t>
      </w:r>
    </w:p>
    <w:p>
      <w:pPr>
        <w:pStyle w:val="Normal"/>
        <w:ind w:firstLine="0"/>
        <w:numPr>
          <w:ilvl w:val="0"/>
          <w:numId w:val="1"/>
        </w:numPr>
      </w:pPr>
      <w:r>
        <w:t>Imposto de renda brasileiro, com 15% sobre ganho realizado em renda variável e 17,5% sobre renda fixa na faixa de 361 a 720 dias, cobrado no ano em que a revisão seguinte efetivamente realiza o ganho, e com liquidação integral assumida no último ano avaliado. Essa é a hipótese terminal conservadora, em vez de um diferimento indefinido que embelezaria a série.</w:t>
      </w:r>
    </w:p>
    <w:p>
      <w:pPr>
        <w:pStyle w:val="Normal"/>
      </w:pPr>
      <w:r>
        <w:t>O sistema recusa, por regra, ordens que ultrapassem 5% do volume médio diário do papel. A ordem falha em vez de ser enviada.</w:t>
      </w:r>
    </w:p>
    <w:p>
      <w:pPr>
        <w:pStyle w:val="Heading2"/>
      </w:pPr>
      <w:r>
        <w:t>3.6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obrigatória. Nenhuma ordem é transmitida, nem pode ser, porque a arquitetura não tem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linguagem. O modelo organiza tese e riscos a partir de fatos já aprovados. Ele não define peso, não altera limite e não aprova ativo. Isso é uma restrição de arquitetura verificável, não uma promessa de conduta, e a Seção 5.5 mostra o experimento que testou o que aconteceria se ela fosse relaxada.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pós-operação.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versionados.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SELEÇÃO ANINHADA: A JANELA QUE ESCOLHE NÃO É A JANELA QUE TESTA</w:t>
      </w:r>
    </w:p>
    <w:p>
      <w:pPr>
        <w:pStyle w:val="Normal"/>
      </w:pPr>
      <w:r>
        <w:t xml:space="preserve">O artefato admite múltiplas configurações de política, combinando orçamento de renda variável, número de posições e família de fatores. Publicar a melhor delas medida sobre toda a amostra seria exatamente o erro que a Seção 2 descreve. O protocolo adotado é uma seleção aninhada: para decidir a configuração do ano </w:t>
      </w:r>
      <w:r>
        <w:rPr>
          <w:i/>
        </w:rPr>
        <w:t>t</w:t>
      </w:r>
      <w:r>
        <w:t xml:space="preserve">, o sistema ordena as 36 configurações usando somente os anos já encerrados antes de </w:t>
      </w:r>
      <w:r>
        <w:rPr>
          <w:i/>
        </w:rPr>
        <w:t>t</w:t>
      </w:r>
      <w:r>
        <w:t>, pelo índice de Sharpe do excesso sobre o CDI, e adota a primeira colocada. Trocar de configuração é uma operação real, e é cobrada como rebalanceamento integral.</w:t>
      </w:r>
    </w:p>
    <w:p>
      <w:pPr>
        <w:pStyle w:val="Normal"/>
      </w:pPr>
      <w:r>
        <w:t>O ranqueamento exige no mínimo três anos encerrados. Com o painel começando em 2012, isso torna 2012 a 2014 a janela de seleção e 2015 a 2025 a janela de avaliação, com onze decisões anuais, uma por ano. Os três anos de seleção aparecem nos gráficos, marcados como tal, e não entram em nenhuma métrica de manchete.</w:t>
      </w:r>
    </w:p>
    <w:p>
      <w:pPr>
        <w:pStyle w:val="Heading2"/>
      </w:pPr>
      <w:r>
        <w:t>4.2 COMPARADORES</w:t>
      </w:r>
    </w:p>
    <w:p>
      <w:pPr>
        <w:pStyle w:val="Normal"/>
      </w:pPr>
      <w:r>
        <w:t>Quatro referências, todas calculadas de forma independente.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2026b).</w:t>
      </w:r>
    </w:p>
    <w:p>
      <w:pPr>
        <w:pStyle w:val="Normal"/>
        <w:ind w:firstLine="0"/>
        <w:numPr>
          <w:ilvl w:val="0"/>
          <w:numId w:val="1"/>
        </w:numPr>
      </w:pPr>
      <w:r>
        <w:t>BOVA11, ETF negociável que busca acompanhar o Ibovespa e permite observar uma implementação passiva sujeita a taxa, custos de negociação e diferença de aderência (BlackRock, 2026).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neutra sobre o mesmo universo elegível, um comparador independente e não uma cópia da carteira com outro nome.</w:t>
      </w:r>
    </w:p>
    <w:p>
      <w:pPr>
        <w:pStyle w:val="Normal"/>
      </w:pPr>
      <w:r>
        <w:t>Esse último merece nota. Em uma versão anterior do sistema, a série rotulada como MVO de referência era numericamente idêntica à estratégia em todos os anos, ou seja, a estratégia estava sendo comparada a si mesma. O defeito foi encontrado na auditoria interna, corrigido com uma implementação independente, e o comparador passou a produzir resultados distintos, inclusive desfavoráveis à estratégia em um dos onze anos.</w:t>
      </w:r>
    </w:p>
    <w:p>
      <w:pPr>
        <w:pStyle w:val="Normal"/>
      </w:pPr>
      <w:r>
        <w:t>Ibovespa e BOVA11 não são duplicatas. O primeiro mede o retorno total de uma carteira teórica e estabelece a referência econômica do mercado. O segundo representa um caminho efetivamente negociável para buscar essa exposição. A pequena diferença entre as duas séries é informativa, pois reúne taxa, fricções operacionais e erro de aderência.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retrospectiva, que é a diferença entre o CAGR da configuração que teria vencido a amostra inteira, escolha impossível na prática porque usa os anos sobre os quais é medida, e o CAGR da escolha aninhada. Esse número quantifica exatamente o que um concorrente ganharia publicando o vencedor da busca como se fosse resultado obtenível.</w:t>
      </w:r>
    </w:p>
    <w:p>
      <w:pPr>
        <w:pStyle w:val="Heading2"/>
      </w:pPr>
      <w:r>
        <w:t>4.4 BENEVENTE 2: PROTEÇÃO INTRANUAL SEM TROCAR A TESE ANUAL</w:t>
      </w:r>
    </w:p>
    <w:p>
      <w:pPr>
        <w:pStyle w:val="Normal"/>
      </w:pPr>
      <w:r>
        <w:t>O Benevente 1 continua sendo a estratégia publicada: a cesta e o orçamento de risco são definidos na revisão anual e os ativos são mantidos até a revisão seguinte. O Benevente 2 é uma extensão experimental que não escolhe ações novas e não usa notícias. Ele observa somente a queda do Ibovespa em relação ao pico móvel de 126 sessões e a volatilidade realizada em 20 sessões, sempre deslocadas em um pregão. Assim, a decisão de hoje usa apenas o fechamento de ontem.</w:t>
      </w:r>
    </w:p>
    <w:p>
      <w:pPr>
        <w:pStyle w:val="Normal"/>
      </w:pPr>
      <w:r>
        <w:t>A configuração candidata foi escolhida somente em 2015--2018. Um alerta é acionado com queda de 12% ou volatilidade anualizada de 40%, limitando a exposição a ações a 50%. O estado severo usa 22% e 60%, respectivamente, e limita a exposição a 35%. A saída exige dez sessões de recuperação, para reduzir idas e vindas. O saldo migra para CDI e cada mudança paga 0,10% por unidade de giro. O período de 2019--2025 é lido separadamente como avaliação retrospectiva. A extensão foi concebida depois da Covid-19, portanto essa separação temporal não elimina o viés conceitual e não equivale a validação prospectiva.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DESEMPENHO DA CARTEIRA PUBLICADA</w:t>
      </w:r>
    </w:p>
    <w:p>
      <w:pPr>
        <w:pStyle w:val="Normal"/>
      </w:pPr>
      <w:r>
        <w:t>Onze decisões anuais, de 2015 a 2025, líquidas de custos de execução.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Desempenho da carteira publicada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73"/>
        <w:gridCol w:w="900"/>
        <w:gridCol w:w="1768"/>
        <w:gridCol w:w="1436"/>
        <w:gridCol w:w="2083"/>
      </w:tblGrid>
      <w:tr>
        <w:trPr>
          <w:cantSplit/>
          <w:tblHeader w:val="true"/>
        </w:trPr>
        <w:tc>
          <w:tcPr>
            <w:tcW w:type="dxa" w:w="287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90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</w:t>
            </w:r>
          </w:p>
        </w:tc>
        <w:tc>
          <w:tcPr>
            <w:tcW w:type="dxa" w:w="1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R$ 100 mil viram</w:t>
            </w:r>
          </w:p>
        </w:tc>
        <w:tc>
          <w:tcPr>
            <w:tcW w:type="dxa" w:w="143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20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7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Benevente 1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1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43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7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Benevente, após IR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1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43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7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1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43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20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7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BOVA11 (ETF investível)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11,72%</w:t>
            </w:r>
          </w:p>
        </w:tc>
        <w:tc>
          <w:tcPr>
            <w:tcW w:type="dxa" w:w="1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R$ 338.545</w:t>
            </w:r>
          </w:p>
        </w:tc>
        <w:tc>
          <w:tcPr>
            <w:tcW w:type="dxa" w:w="143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20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−47,2%</w:t>
            </w:r>
          </w:p>
        </w:tc>
      </w:tr>
      <w:tr>
        <w:trPr>
          <w:cantSplit/>
        </w:trPr>
        <w:tc>
          <w:tcPr>
            <w:tcW w:type="dxa" w:w="287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1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43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20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7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90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1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43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20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coluna em reais existe porque percentual é fácil de aprovar com a cabeça e difícil de sentir. Cem mil reais aplicados em janeiro de 2015 e resgatados no fim de 2025 seriam R$ 609.832 na carteira publicada, R$ 340.068 no Ibovespa e R$ 274.368 no CDI, uma diferença de R$ 269.764 para o mercado e de R$ 335.464 para o caixa.</w:t>
      </w:r>
    </w:p>
    <w:p>
      <w:pPr>
        <w:pStyle w:val="Normal"/>
      </w:pPr>
      <w:r>
        <w:t>Em janelas móveis, contra o CDI a carteira vence 8 de 9 janelas de três anos, 6 de 7 de cinco anos e 2 de 2 de dez anos. Contra a otimização neutra, vence todas as janelas de três, cinco e dez anos. Registramos que janelas móveis se sobrepõem: as 9 janelas de três anos contêm apenas 3 blocos independentes, e as de dez anos, apenas 1. O número de janelas vencidas impressiona mais do que informa, e por isso publicamos os dois lados.</w:t>
      </w:r>
    </w:p>
    <w:p>
      <w:pPr>
        <w:pStyle w:val="Normal"/>
      </w:pPr>
      <w:r>
        <w:t>Esse resultado teve um custo de risco. A queda máxima diária chegou a 47,8%, praticamente a mesma do Ibovespa, com 47,0%, e do BOVA11, com 47,2%. Isso ocorreu porque o protocolo aninhado elevou a parcela de renda variável a 95% entre 2018 e 2021. A carteira não é uma versão suavizada do mercado com retorno maior. É uma carteira concentrada que passou pelo mesmo tombo e se recuperou mais. Houve cinco trocas de configuração no período, e o orçamento de renda variável percorreu 55%, 75%, 95%, 75% e 55%.</w:t>
      </w:r>
    </w:p>
    <w:p>
      <w:pPr>
        <w:pStyle w:val="Heading2"/>
      </w:pPr>
      <w:r>
        <w:t>5.2 BENEVENTE 2: O QUE MELHOROU E O QUE NÃO FOI PROVADO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Desempenho e risco do Benevente 1 e do Benevente 2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61"/>
        <w:gridCol w:w="1836"/>
        <w:gridCol w:w="2326"/>
        <w:gridCol w:w="1837"/>
      </w:tblGrid>
      <w:tr>
        <w:trPr>
          <w:cantSplit/>
          <w:tblHeader w:val="true"/>
        </w:trPr>
        <w:tc>
          <w:tcPr>
            <w:tcW w:type="dxa" w:w="30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83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2015--2025</w:t>
            </w:r>
          </w:p>
        </w:tc>
        <w:tc>
          <w:tcPr>
            <w:tcW w:type="dxa" w:w="23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  <w:tc>
          <w:tcPr>
            <w:tcW w:type="dxa" w:w="1837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2019--2025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Benevente 1</w:t>
            </w:r>
          </w:p>
        </w:tc>
        <w:tc>
          <w:tcPr>
            <w:tcW w:type="dxa" w:w="183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3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17,95%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Benevente 2, experimental</w:t>
            </w:r>
          </w:p>
        </w:tc>
        <w:tc>
          <w:tcPr>
            <w:tcW w:type="dxa" w:w="183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3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  <w:tc>
          <w:tcPr>
            <w:tcW w:type="dxa" w:w="1837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18,03%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Na crise de 2020, o primeiro alerta ocorreu em 28/02/2020 e o estado severo em 10/03/2020. A exposição mínima ficou em 35%. O Benevente 1 terminou o ano com 1,78%, o Benevente 2 com 4,35% e o Ibovespa com 0,62%. A queda máxima caiu de 47,8% para 28,7%, enquanto a do índice foi de 46,8%.</w:t>
      </w:r>
    </w:p>
    <w:p>
      <w:pPr>
        <w:pStyle w:val="Normal"/>
      </w:pPr>
      <w:r>
        <w:t>O resultado de retorno exige contenção. No recorte 2019--2025 a diferença de CAGR entre as versões foi de apenas 0,09 ponto percentual e o teste pareado anual produziu p = 0,964. Portanto, não há evidência de alfa adicional. Numa grade de sensibilidade com 432 configurações, todas reduziram a queda máxima, mas apenas 9,03% melhoraram simultaneamente CAGR e queda no recorte de avaliação. A conclusão sustentada é uma redução robusta de risco de cauda, não aumento comprovado de rentabilidade. Os números do Benevente 2 incluem custo de giro do controle intranual, mas ainda não o imposto gerado por vendas dentro do ano. Por isso ele permanece experimental e não substitui a série canônica.</w:t>
      </w:r>
    </w:p>
    <w:p>
      <w:pPr>
        <w:pStyle w:val="Heading2"/>
      </w:pPr>
      <w:r>
        <w:t>5.3 O RESULTADO SOBREVIVE À CORREÇÃO POR MÚLTIPLAS TENTATIVAS?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merece leitura cuidadosa, porque é a medida mais informativa do conjunto. Ele diz que escolher a configuração vencedora sabendo o desfecho teria rendido apenas 0,65 ponto percentual a mais por ano do que a escolha aninhada, que não sabia. Em uma versão anterior deste mesmo sistema, com um ano a menos de treino, esse prêmio era de 4,98 pontos, ou seja, a busca estava fazendo boa parte do trabalho. Estender a base de dados para permitir decisões desde 2012 reduziu o prêmio por um fator de sete e elevou a probabilidade do Sharpe deflacionado de 0,957 para 0,986. O ganho relevante da última iteração do artefato não foi retorno. Foi a redução da parcela do retorno atribuível à própria busca.</w:t>
      </w:r>
    </w:p>
    <w:p>
      <w:pPr>
        <w:pStyle w:val="Heading2"/>
      </w:pPr>
      <w:r>
        <w:t>5.4 O QUE NÃO FUNCIONOU</w:t>
      </w:r>
    </w:p>
    <w:p>
      <w:pPr>
        <w:pStyle w:val="Normal"/>
      </w:pPr>
      <w:r>
        <w:t>Quatro hipóteses foram testadas e nenhuma se sustentou. São publicadas com o mesmo destaque do resultado positivo, porque um artefato que só reporta o que deu certo não é auditável.</w:t>
      </w:r>
    </w:p>
    <w:p>
      <w:pPr>
        <w:pStyle w:val="Normal"/>
      </w:pPr>
      <w:r>
        <w:t>Previsão anual de regime. Testamos se indicadores disponíveis em janeiro, entre prêmio de lucro sobre o CDI, nível do CDI, retorno e volatilidade do mercado nos doze meses anteriores e distância do topo, anteciparam se o ano seria de ações ou de caixa. Sobre 8 anos, o melhor preditor acertou 3 de 4 chamadas efetivas, com p de 0,31 contra cara-ou-coroa. Um acerto de 75% em quatro tentativas não distingue habilidade de sorte. O prêmio disponível para quem acertasse todas as chamadas era de 6,5 pontos percentuais ao ano, e permanece inalcançável. Sem sinal.</w:t>
      </w:r>
    </w:p>
    <w:p>
      <w:pPr>
        <w:pStyle w:val="Normal"/>
      </w:pPr>
      <w:r>
        <w:t>Realocação mensal e semanal. Aumentamos as observações para responder à objeção de poder estatístico. Foram 118 períodos mensais e 521 períodos semanais, com sete regras de alocação contínua testadas em cada frequência. Nenhuma das sete regras superou o peso estático de forma estatisticamente significante em nenhuma das duas frequências, e uma delas, a de média-variância, foi significativamente pior. O oráculo, que conhece o futuro, teria feito 72,8% ao ano no mensal e 137,1% no semanal, contra 21,1% do estático. O prêmio por acertar o tempo é enorme, e nada que testamos consegue capturá-lo. Rejeitada.</w:t>
      </w:r>
    </w:p>
    <w:p>
      <w:pPr>
        <w:pStyle w:val="Normal"/>
      </w:pPr>
      <w:r>
        <w:t>Reseleção mais frequente da cesta. A objeção seguinte é diferente da anterior e precisa ser separada dela: não se a proporção entre ações e caixa deve mudar mais vezes, que é o que o parágrafo acima rejeita, mas se a própria cesta deveria ser retriada, reordenada e reotimizada mais vezes por ano. Testamos três cadências com a mesma regra, os mesmos limites e o mesmo painel, variando apenas as datas de decisão.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anual. Pareando por ano-calendário, a trimestral fica 1,55 ponto percentual abaixo ao ano após imposto, com p de 0,376, e a mensal 3,27 pontos abaixo, com p de 0,306. A leitura correta é que não há evidência de que decidir mais vezes ajude, e não que esteja provado que atrapalhe: onze anos pareados não sustentam a afirmação mais forte.</w:t>
      </w:r>
    </w:p>
    <w:p>
      <w:pPr>
        <w:pStyle w:val="Normal"/>
      </w:pPr>
      <w:r>
        <w:t>O mecanismo contraria a intuição corrente, que atribuiria a diferença a custo e imposto. A perda está no retorno bruto, que cai 4,66 pontos de anual para mensal antes de qualquer dedução. O custo de execução sobe apenas 0,08 ponto ao ano, e o imposto modelado até diminui, porque cada revisão mensal realiza uma fatia menor do livro. Ou seja, decidir mais vezes piora a seleção antes de encarecer a operação. O sinal combina qualidade, valor e momento, grandezas que se movem em horizonte anual, e reordenar todo mês troca posições antes que a tese tenha tempo de se realizar.</w:t>
      </w:r>
    </w:p>
    <w:p>
      <w:pPr>
        <w:pStyle w:val="Normal"/>
      </w:pPr>
      <w:r>
        <w:t>Registramos uma fraqueza do modelo tributário nessa comparação: ele cobra imposto sobre o ganho do próprio período, e não sobre o ganho acumulado da posição efetivamente vendida, o que subestima a conta do braço mensal. O viés favorece a cadência mais rápida, e ela perdeu mesmo assim, então a conclusão é robusta a essa limitação.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Heading2"/>
      </w:pPr>
      <w:r>
        <w:t>5.5 O EXPERIMENTO COM MODELO DE LINGUAGEM: TRÊS NULOS</w:t>
      </w:r>
    </w:p>
    <w:p>
      <w:pPr>
        <w:pStyle w:val="Normal"/>
      </w:pPr>
      <w:r>
        <w:t>O sistema usa um modelo de linguagem em papel deliberadamente restrito. Para verificar se essa restrição custa desempenho, e se o modelo agrega algo, montamos quatro braços sobre 13 anos, com o mesmo universo elegível.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as empresas são identificadas apenas por números, de modo que o modelo vê os fundamentos e não as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 algum,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e sem restrições.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Três nulos, e cada um significa algo diferente.</w:t>
      </w:r>
    </w:p>
    <w:p>
      <w:pPr>
        <w:pStyle w:val="Normal"/>
        <w:ind w:firstLine="0"/>
        <w:numPr>
          <w:ilvl w:val="0"/>
          <w:numId w:val="5"/>
        </w:numPr>
      </w:pPr>
      <w:r>
        <w:t>Não há evidência de contaminação temporal. O braço nomeado não lucrou por reconhecer empresas cujo destino o modelo poderia conhecer do treinamento. Essa era a objeção mais séria a qualquer uso de modelo de linguagem em backtest histórico, e ela não se sustentou nesta configuração.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agrega retorno. Ele reproduz o ranqueamento determinístico em vez de acrescentar julgamento, com diferença de cinco centésimos de ponto percentual e sinal negativo. Isso é uma constatação desconfortável para o discurso de mercado sobre IA em investimentos, e é exatamente por isso que está publicada.</w:t>
      </w:r>
    </w:p>
    <w:p>
      <w:pPr>
        <w:pStyle w:val="Normal"/>
        <w:ind w:firstLine="0"/>
        <w:numPr>
          <w:ilvl w:val="0"/>
          <w:numId w:val="5"/>
        </w:numPr>
      </w:pPr>
      <w:r>
        <w:t>O desacoplamento não custa desempenho. Manter o modelo longe dos pesos não penalizou o resultado, e se algo o braço desacoplado foi melhor. O braço monolítico, que recebeu a caneta, não estourou nenhum teto, o que é uma constatação a favor dele e precisa ser dita. O que ele produziu foram carteiras aritmeticamente inválidas: os pesos não somavam um em 5 dos 13 anos, variando de 0,92 a 1,017, e em 2021 e 2022 omitiu 65 e 83 ativos elegíveis sem sinalizar. O otimizador não se justifica por impedir violação de limite, e sim por devolver uma alocação válida que não precise de conserto depois.</w:t>
      </w:r>
    </w:p>
    <w:p>
      <w:pPr>
        <w:pStyle w:val="Normal"/>
      </w:pPr>
      <w:r>
        <w:t>A conclusão de produto é direta. O modelo de linguagem justifica-se no Benevente por organizar e explicar decisões, não por gerá-las. Vender IA como fonte de alfa, com base nestes dados, seria vender algo que medimos e não encontramos.</w:t>
      </w:r>
    </w:p>
    <w:p>
      <w:pPr>
        <w:pStyle w:val="Heading2"/>
      </w:pPr>
      <w:r>
        <w:t>5.6 DEFEITOS ENCONTRADOS NA PRÓPRIA AUDITORIA</w:t>
      </w:r>
    </w:p>
    <w:p>
      <w:pPr>
        <w:pStyle w:val="Normal"/>
      </w:pPr>
      <w:r>
        <w:t>O artefato passou por auditoria interna adversarial. Sete defeitos foram encontrados e corrigidos, e todos inflavam o resultado.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CAGR publicado caiu, a queda máxima subiu de 30,4% para 47,8%, e o número foi publicado assim mesmo. Essa é a evidência de processo que o produto vende: não que o resultado seja bom, mas que ele é o resultado que sobrou depois de procurar defeitos com afinco.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escritórios de investimento, consultorias de valores mobiliários, gestores patrimoniais e estruturas de multi-family office. Para a instituição, o Benevente transforma a documentação em consequência do próprio trabalho: a política aplicada, os dados e seus hashes, a elegibilidade, os pesos, as ordens, o custo estimado e a aprovação permanecem ligados à mesma decisão. Para o profissional, isso reduz o tempo gasto reconstruindo uma recomendação. Para o cliente, permite responder tanto por que um papel entrou quanto por que outro ficou de fora.</w:t>
      </w:r>
    </w:p>
    <w:p>
      <w:pPr>
        <w:pStyle w:val="Normal"/>
      </w:pPr>
      <w:r>
        <w:t>O benefício comercial não deve ser apresentado como promessa de superar o mercado. A evidência histórica sustenta a utilidade da regra de pesquisa, mas o valor contratável está na consistência do processo, na comparação explícita com alternativas e na capacidade de revisão. O retorno continua sendo medido, acompanhado e discutido, sem se tornar garantia, remuneração vinculada a desempenho ou substituto de suitability.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pela política da instituição. Depois de escolher o perfil e aceitar seus limites, o usuário vê quais arquivos e demonstrações estavam disponíveis e quais passaram na validação. A triagem mostra aprovados e reprovados com o respectivo motivo. A carteira candidata apresenta pesos, parcela defensiva, custo e comparação com CDI, Ibovespa, BOVA11 e MVO. Em seguida, o profissional revisa a tese em linguagem natural, registra riscos, aprova ou rejeita a proposta e informa a justificativa. O dossiê final reúne esse percurso e a versão da regra. Laboratório e documento de decisão são, portanto, duas vistas do mesmo registro, e não etapas desconectadas.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Uma implantação mínima pode ser dividida em três etapas. Na preparação, a instituição define fontes, políticas, perfis de acesso e responsáveis por aprovação. No piloto, o sistema acompanha uma política e um grupo pequeno de carteiras sem enviar ordens, enquanto o escritório confronta os dossiês com o processo que já utiliza. Na operação assistida, a conciliação de custos e posições passa a fechar o ciclo entre proposta e execução. Integração com corretora, custódia, identidade corporativa e arquivo documental pertence a essa última etapa e não precisa bloquear o teste inicial.</w:t>
      </w:r>
    </w:p>
    <w:p>
      <w:pPr>
        <w:pStyle w:val="Normal"/>
      </w:pPr>
      <w:r>
        <w:t>A oferta a validar é uma licença institucional, combinada a um serviço de implantação. O preço ainda não foi testado. O piloto deve medir tempo para produzir o dossiê, proporção de decisões com evidência completa, número de revisões até a aprovação, diferença entre custo estimado e executado e disposição a pagar. A relevância para o Espírito Santo também precisa ser observada, e não presumida: entrevistas e pilotos devem verificar se a ferramenta ajuda escritórios locais a manter no estado uma parcela maior do trabalho analítico e do relacionamento com famílias e empresas.</w:t>
      </w:r>
    </w:p>
    <w:p>
      <w:pPr>
        <w:pStyle w:val="Normal"/>
      </w:pPr>
      <w:r>
        <w:t>O produto permanece em estágio de pesquisa reprodutível. A janela de 2015 a 2025 foi usada no desenvolvimento e descreve a amostra, não o futuro. A avaliação prospectiva começa no registro congelado, cujo hash foi versionado e recebeu data carimbada por terceiro. Essa separação entre evidência histórica e acompanhamento futuro é parte do produto, não apenas uma ressalva acadêmica.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temporal. Onze decisões anuais são poucas, e a janela avaliada também serviu ao desenvolvimento. O prêmio de retrospectiva de 0,65 ponto percentual reduz a preocupação com escolha posterior da regra, mas não equivale a validação prospectiva. A probabilidade do Sharpe deflacionado corrige múltiplas tentativas; ela não cria observações que a história não oferece.</w:t>
      </w:r>
    </w:p>
    <w:p>
      <w:pPr>
        <w:pStyle w:val="Normal"/>
      </w:pPr>
      <w:r>
        <w:t>A segunda limitação está nos dados. O detector de eventos societários tem precisão de 88,1%, mas recall de 23,3%. Ele prefere deixar de ajustar a produzir um ajuste incorreto. Papéis sem cobertura integral recebem, em casos identificados no relatório, uma distribuição imputada a partir da mediana transversal do ano. Antes de qualquer uso comercial do desempenho, proventos, juros sobre capital próprio e eventos de papéis deslistados precisam ser reconciliados com registros primários da B3 ou da CVM.</w:t>
      </w:r>
    </w:p>
    <w:p>
      <w:pPr>
        <w:pStyle w:val="Normal"/>
      </w:pPr>
      <w:r>
        <w:t>A terceira é econômica. A queda máxima diária do Benevente 1 chegou a 47,8%, nível incompatível com um perfil conservador. O Benevente 2 reduziu essa queda, mas foi concebido depois da Covid-19, ainda não teve imposto intranual conciliado e não demonstrou retorno adicional. Ele deve ser tratado como experimento de controle de risco, não como substituto validado da carteira publicada.</w:t>
      </w:r>
    </w:p>
    <w:p>
      <w:pPr>
        <w:pStyle w:val="Normal"/>
      </w:pPr>
      <w:r>
        <w:t>Por fim, o produto não elimina responsabilidade profissional. Uso comercial exige enquadramento regulatório, política de suitability, segurança, contrato de fontes e aprovação humana. O modelo de linguagem não antecipou a Covid-19, não seleciona ativos e não define pesos. Notícias também não entram no protocolo atual porque não há, neste experimento, um arquivo histórico com horário de publicação e corte verificável.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depois do registro congelado. Em paralelo, a pesquisa deve reconciliar eventos e proventos, incorporar imposto por lote vendido ao Benevente 2 e repetir o teste de contaminação com modelos cujas datas de treinamento sejam conhecidas. Um estudo com notícias deve ser pré-registrado como braço separado, com frequência trimestral ou orientada a eventos, sem reotimizar a regra anual depois de observar o resultado. O passo de produto é um piloto silencioso em escritório capixaba, sem execução automática, capaz de medir tempo, completude documental, divergência de custos e aceitação do usuário.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Wealth System foi construído para resolver uma falha operacional específica: carteiras são propostas em um momento e justificadas em outro, mas os dados, a regra e a aprovação raramente permanecem unidos. O artefato mostrou que é possível produzir a alocação e a evidência da decisão no mesmo fluxo, com universo reconstruído da B3,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Na amostra de 2015 a 2025, o Benevente 1 superou CDI, Ibovespa e MVO de referência em retorno anualizado, ainda que com queda máxima elevada. O Benevente 2 protegeu melhor o capital na crise observada, sem comprovar retorno adicional. Os testes negativos são igualmente informativos: a frequência anual não perdeu para reseleções mais rápidas, o modelo de linguagem não acrescentou retorno e a alocação direta por texto produziu carteiras aritmeticamente inconsistentes em parte dos anos. Esses resultados justificam um sistema em que a matemática decide a alocação, a linguagem ajuda a compreendê-la e uma pessoa conserva a responsabilidade final.</w:t>
      </w:r>
    </w:p>
    <w:p>
      <w:pPr>
        <w:pStyle w:val="Normal"/>
      </w:pPr>
      <w:r>
        <w:t>A recomendação prática é testar o produto como infraestrutura de decisão e governança, não como promessa de rentabilidade. Seu mérito competitivo será confirmado se um piloto reduzir o esforço de documentação, aumentar a completude da evidência e permitir que o escritório defenda suas escolhas com clareza. Até que resultados prospectivos se acumulem, o desempenho histórico deve permanecer como evidência de pesquisa, acompanhado das limitações que o próprio sistema foi desenhado para registrar.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A versão submetida inclui um pacote suplementar anônimo com o código de reprodução, os artefatos de avaliação e o manifesto criptográfico. Os endereços públicos do sistema e do repositório foram omitidos para preservar a avaliação cega. Após o aceite, a versão para publicação deverá restaurar esses endereços e indicar o arquivo permanente com DOI.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 Wealth System. (2026). </w:t>
      </w:r>
      <w:r>
        <w:rPr>
          <w:i/>
        </w:rPr>
        <w:t>Documentação técnica, repositório de dados e validação de horizontes</w:t>
      </w:r>
      <w:r>
        <w:t>. Repositório anônimo de avaliação.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BlackRock. (2026). </w:t>
      </w:r>
      <w:r>
        <w:rPr>
          <w:i/>
        </w:rPr>
        <w:t>iShares Ibovespa Fundo de Índice (BOVA11): factsheet</w:t>
      </w:r>
      <w:r>
        <w:t>. https://www.blackrock.com/br/literature/fact-sheet/bova11-ishares-ibovespa-fundo-de-ndice-fund-fact-sheet-pt-lm.pdf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Harvey, C. R., Liu, Y., &amp; Zhu, H. (2016). … and the cross-section of expected returns. </w:t>
      </w:r>
      <w:r>
        <w:rPr>
          <w:i/>
        </w:rPr>
        <w:t>Review of Financial Studies, 29</w:t>
      </w:r>
      <w:r>
        <w:t>(1), 5–68. https://doi.org/10.1093/rfs/hhv059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ns0:ftr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 w15">
  <ns0:p>
    <ns0:pPr>
      <ns0:pStyle ns0:val="Footer"/>
      <ns0:tabs>
        <ns0:tab ns0:val="clear" ns0:pos="708"/>
        <ns0:tab ns0:val="left" ns0:pos="5685" ns0:leader="none"/>
        <ns0:tab ns0:val="right" ns0:pos="9070" ns0:leader="none"/>
      </ns0:tabs>
      <ns0:rPr/>
    </ns0:pPr>
    <ns0:r>
      <ns0:drawing>
        <ns2:anchor behindDoc="1" distT="0" distB="0" distL="114935" distR="114935" simplePos="0" locked="0" layoutInCell="1" allowOverlap="1" relativeHeight="7">
          <ns2:simplePos x="0" y="0"/>
          <ns2:positionH relativeFrom="column">
            <ns2:posOffset>2168525</ns2:posOffset>
          </ns2:positionH>
          <ns2:positionV relativeFrom="paragraph">
            <ns2:posOffset>-638175</ns2:posOffset>
          </ns2:positionV>
          <ns2:extent cx="1558925" cy="1131570"/>
          <ns2:effectExtent l="0" t="0" r="0" b="0"/>
          <ns2:wrapNone/>
          <ns2:docPr id="2" name="Image1" descr="Logotipo da Fucape Business School" title="Logotipo da Fucape Business School"/>
          <ns2:cNvGraphicFramePr>
            <ns3:graphicFrameLocks noChangeAspect="1"/>
          </ns2:cNvGraphicFramePr>
          <ns3:graphic>
            <ns3:graphicData uri="http://schemas.openxmlformats.org/drawingml/2006/picture">
              <ns4:pic>
                <ns4:nvPicPr>
                  <ns4:cNvPr id="2" name="Image1" descr="" title=""/>
                  <ns4:cNvPicPr>
                    <ns3:picLocks noChangeAspect="1" noChangeArrowheads="1"/>
                  </ns4:cNvPicPr>
                </ns4:nvPicPr>
                <ns4:blipFill>
                  <ns3:blip ns5:embed="rId1"/>
                  <ns3:srcRect l="31175" t="-33" r="48994" b="-33"/>
                  <ns3:stretch>
                    <ns3:fillRect/>
                  </ns3:stretch>
                </ns4:blipFill>
                <ns4:spPr bwMode="auto">
                  <ns3:xfrm>
                    <ns3:off x="0" y="0"/>
                    <ns3:ext cx="1558925" cy="1131570"/>
                  </ns3:xfrm>
                  <ns3:prstGeom prst="rect">
                    <ns3:avLst/>
                  </ns3:prstGeom>
                </ns4:spPr>
              </ns4:pic>
            </ns3:graphicData>
          </ns3:graphic>
        </ns2:anchor>
      </ns0:drawing>
    </ns0:r>
    <ns0:r>
      <ns0:rPr>
        <ns0:rFonts ns0:cs="Arial" ns0:ascii="Arial" ns0:hAnsi="Arial"/>
        <ns0:b/>
        <ns0:sz ns0:val="16"/>
      </ns0:rPr>
      <ns0:tab/>
      <ns0:tab/>
      <ns0:tab/>
      <ns0:tab/>
    </ns0:r>
    <ns0:r>
      <ns0:rPr>
        <ns0:rFonts ns0:cs="Arial" ns0:ascii="Arial" ns0:hAnsi="Arial"/>
        <ns0:b/>
        <ns0:sz ns0:val="16"/>
      </ns0:rPr>
      <ns0:fldChar ns0:fldCharType="begin"/>
    </ns0:r>
    <ns0:r>
      <ns0:rPr>
        <ns0:sz ns0:val="16"/>
        <ns0:b/>
        <ns0:rFonts ns0:cs="Arial" ns0:ascii="Arial" ns0:hAnsi="Arial"/>
      </ns0:rPr>
      <ns0:instrText xml:space="preserve"> PAGE </ns0:instrText>
    </ns0:r>
    <ns0:r>
      <ns0:rPr>
        <ns0:sz ns0:val="16"/>
        <ns0:b/>
        <ns0:rFonts ns0:cs="Arial" ns0:ascii="Arial" ns0:hAnsi="Arial"/>
      </ns0:rPr>
      <ns0:fldChar ns0:fldCharType="separate"/>
    </ns0:r>
    <ns0:r>
      <ns0:rPr>
        <ns0:sz ns0:val="16"/>
        <ns0:b/>
        <ns0:rFonts ns0:cs="Arial" ns0:ascii="Arial" ns0:hAnsi="Arial"/>
      </ns0:rPr>
      <ns0:t>3</ns0:t>
    </ns0:r>
    <ns0:r>
      <ns0:rPr>
        <ns0:sz ns0:val="16"/>
        <ns0:b/>
        <ns0:rFonts ns0:cs="Arial" ns0:ascii="Arial" ns0:hAnsi="Arial"/>
      </ns0:rPr>
      <ns0:fldChar ns0:fldCharType="end"/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 w15">
  <ns0:p>
    <ns0:pPr>
      <ns0:pStyle ns0:val="Header"/>
      <ns0:ind ns0:hanging="1560" ns0:end="0"/>
      <ns0:rPr>
        <ns0:lang ns0:val="en-US" ns0:eastAsia="en-US"/>
      </ns0:rPr>
    </ns0:pPr>
    <ns0:r>
      <ns0:rPr>
        <ns0:lang ns0:val="en-US" ns0:eastAsia="en-US"/>
      </ns0:rPr>
      <ns0:drawing>
        <ns2:anchor behindDoc="1" distT="0" distB="0" distL="114935" distR="114935" simplePos="0" locked="0" layoutInCell="0" allowOverlap="1" relativeHeight="4">
          <ns2:simplePos x="0" y="0"/>
          <ns2:positionH relativeFrom="margin">
            <ns2:align>center</ns2:align>
          </ns2:positionH>
          <ns2:positionV relativeFrom="paragraph">
            <ns2:posOffset>635</ns2:posOffset>
          </ns2:positionV>
          <ns2:extent cx="7750810" cy="923925"/>
          <ns2:effectExtent l="0" t="0" r="0" b="0"/>
          <ns2:wrapNone/>
          <ns2:docPr id="1" name="Imagem 2" descr="Identidade visual do Business Tech Congress 2026" title="Identidade visual do Business Tech Congress 2026"/>
          <ns2:cNvGraphicFramePr>
            <ns3:graphicFrameLocks noChangeAspect="1"/>
          </ns2:cNvGraphicFramePr>
          <ns3:graphic>
            <ns3:graphicData uri="http://schemas.openxmlformats.org/drawingml/2006/picture">
              <ns4:pic>
                <ns4:nvPicPr>
                  <ns4:cNvPr id="1" name="Imagem 2" descr="" title=""/>
                  <ns4:cNvPicPr>
                    <ns3:picLocks noChangeAspect="1" noChangeArrowheads="1"/>
                  </ns4:cNvPicPr>
                </ns4:nvPicPr>
                <ns4:blipFill>
                  <ns3:blip ns5:embed="rId1"/>
                  <ns3:srcRect l="-5" t="-40" r="-5" b="-40"/>
                  <ns3:stretch>
                    <ns3:fillRect/>
                  </ns3:stretch>
                </ns4:blipFill>
                <ns4:spPr bwMode="auto">
                  <ns3:xfrm>
                    <ns3:off x="0" y="0"/>
                    <ns3:ext cx="7750810" cy="923925"/>
                  </ns3:xfrm>
                  <ns3:prstGeom prst="rect">
                    <ns3:avLst/>
                  </ns3:prstGeom>
                </ns4:spPr>
              </ns4:pic>
            </ns3:graphicData>
          </ns3:graphic>
        </ns2:anchor>
      </ns0:drawing>
    </ns0:r>
  </ns0:p>
</ns0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/>
  <dc:description/>
  <ns0:keywords>B-Tech Congress</ns0:keywords>
  <dc:language>en-US</dc:language>
  <ns0:lastModifiedBy/>
  <ns0:lastPrinted>2023-10-30T16:07:00Z</ns0:lastPrinted>
  <ns1:modified xsi:type="dcterms:W3CDTF">2026-07-17T19:38:00Z</ns1:modified>
  <ns0:revision>4</ns0:revision>
  <dc:subject>Manuscrito tecnológico BTech 2026</dc:subject>
  <dc:title>Benevente Wealth System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