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 declara três perfis,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identificado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reúne um protocolo reexecutável e um fluxo que preserva quem decidiu, com qual informação e política. O retorno passado mede o comportamento do protótipo, não sua utilidade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agosto de 2026 o sistema opera sob uma política declarada. Em lugar de buscar a melhor configuração a cada ano, ela fixa três, congeladas antes da avaliação prospectiva: o conservador aloca 35% do patrimônio em renda variável entre doze emissores;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versão. A quarta versão acrescentou um degrau de 4%, fora desta avaliação: a série de 2026 dele é reconstrução, não acompanhamento.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independentemente.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que assim se comparava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cinco registros: o módulo de seleção anual, em 16 de agosto de 2026; a camada de proteção e o protocolo de acompanhamento, após as respectivas mudanças; a política por perfil, em 25 de agosto; a revisão do caixa, em 26 de agosto, que governa esta avaliação; e o quarto degrau, em 30 de agosto, que rege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consultorias, gestores patrimoniais e escritórios multifamiliares. A política aplicada, os dados e seus hashes, a elegibilidade, os pesos, as ordens, o custo estimado e a aprovação permanecem ligados à mesma decisão, o que reduz o tempo de reconstrução e permite responder por que um papel entrou e por que outro ficou de fora. O valor a testar está na consistência do processo e na capacidade de revisão, não em promessa de superar o mercado.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 o sistema acompanha poucas carteiras sem enviar ordens, e os dossiês são confrontados com o processo vigente; a conciliação de custos e posições fecha o ciclo entre proposta e execução. O piloto medirá tempo, completude da evidência, revisões, divergência de custos e disposição a pagar. O produto permanece em protótipo reprodutível: a janela descreve a amostra, e a avaliação prospectiva começa nos registros congelados,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 e ainda não demonstrou benefício prospectivo; o imposto de renda variável é apurado por ativo e custo médio; resta conciliar com notas de corretagem.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superaram o caixa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