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jc w:val="center"/>
      </w:pPr>
      <w:r>
        <w:t>Benevente Wealth System: Plataforma B2B de Apoio à Decisão para Carteiras de Médio e Longo Prazo</w:t>
      </w:r>
    </w:p>
    <w:p>
      <w:pPr>
        <w:jc w:val="center"/>
      </w:pPr>
      <w:r>
        <w:t>Manuscrito Tecnológico para o Business Tech Congress (Fucape Business School)</w:t>
      </w:r>
    </w:p>
    <w:p>
      <w:pPr>
        <w:pStyle w:val="Heading2"/>
      </w:pPr>
      <w:r>
        <w:t>FICHA DE ENQUADRAMENTO DO PRODUTO TECNOLÓGICO</w:t>
      </w:r>
    </w:p>
    <w:p>
      <w:pPr/>
      <w:r>
        <w:t>Tipo de Produção Técnica (CAPES 2019): Produto Tecnológico - Software / Aplicativo e Processo ou Tecnologia Não Patenteável.</w:t>
      </w:r>
    </w:p>
    <w:p>
      <w:pPr/>
      <w:r>
        <w:t>Trilha Temática: O Espírito Santo como Destino de Negócios.</w:t>
      </w:r>
    </w:p>
    <w:p>
      <w:pPr/>
      <w:r>
        <w:t>Eixo Temático: Atração, Retenção e Reinvestimento de Capital.</w:t>
      </w:r>
    </w:p>
    <w:p>
      <w:pPr/>
      <w:r>
        <w:t>Público-alvo: Multi-family offices, consultores e analistas devidamente habilitados, gestoras, bancos e plataformas de investimento que atuam no Espírito Santo e no Brasil.</w:t>
      </w:r>
    </w:p>
    <w:p>
      <w:pPr/>
      <w:r>
        <w:t>Proposta prática: plataforma B2B de pesquisa, governança de dados e apoio à decisão para construção de carteiras B3/CDI de médio e longo prazo, sempre com aprovação humana.</w:t>
      </w:r>
    </w:p>
    <w:p>
      <w:pPr>
        <w:pStyle w:val="Heading2"/>
      </w:pPr>
      <w:r>
        <w:t>RESUMO EXECUTIVO</w:t>
      </w:r>
    </w:p>
    <w:p>
      <w:pPr/>
      <w:r>
        <w:t>O Benevente Wealth System é uma solução B2B de apoio à decisão para instituições que precisam construir, documentar e acompanhar carteiras de ações brasileiras e renda fixa pós-fixada. A plataforma integra demonstrativos oficiais da CVM, dados macroeconômicos do Banco Central, filtros determinísticos de valor e qualidade, otimização de carteira com limites explícitos e uma camada opcional de linguagem natural para revisão de teses. O sistema não executa operações nem promete superar CDI ou Ibovespa. Seu diferencial é transformar uma decisão de carteira em um processo rastreável: cada dado possui data contábil e data de divulgação; cada proposta registra limites, custos estimados, fonte de mercado e aprovação humana; e cada execução pode ser conciliada posteriormente com a nota de corretagem. Os testes históricos reproduzíveis mostram evidência mista: a estratégia não superou o CDI na janela de cinco anos, mas superou o CDI nas janelas pré-especificadas de dez e quinze anos. Por isso, a etapa seguinte é um piloto prospectivo de R$100.000 em carteira-sombra, com monitoramento separado dos resultados históricos.</w:t>
      </w:r>
    </w:p>
    <w:p>
      <w:pPr>
        <w:pStyle w:val="Heading2"/>
      </w:pPr>
      <w:r>
        <w:t>1. SITUAÇÃO-PROBLEMA E OPORTUNIDADE DE MERCADO</w:t>
      </w:r>
    </w:p>
    <w:p>
      <w:pPr>
        <w:pStyle w:val="Heading3"/>
      </w:pPr>
      <w:r>
        <w:t>1.1 Decisão de carteira sem trilha auditável</w:t>
      </w:r>
    </w:p>
    <w:p>
      <w:pPr/>
      <w:r>
        <w:t>Instituições de investimento e assessoria precisam combinar dados de mercado, demonstrações financeiras, custos e restrições de cada mandato. Em muitas operações, o racional da recomendação fica disperso entre planilhas, relatórios e mensagens, dificultando a verificação posterior do que era conhecido na data da decisão. O problema aumenta em horizontes de médio e longo prazo, nos quais disciplina de processo, concentração, liquidez, custos e atualização de fundamentos são mais relevantes do que reações pontuais a notícias.</w:t>
      </w:r>
    </w:p>
    <w:p>
      <w:pPr>
        <w:pStyle w:val="Heading3"/>
      </w:pPr>
      <w:r>
        <w:t>1.2 Oportunidade para o ecossistema capixaba</w:t>
      </w:r>
    </w:p>
    <w:p>
      <w:pPr/>
      <w:r>
        <w:t>O Espírito Santo combina empresários, famílias patrimoniais, empresas exportadoras e intermediários financeiros que demandam serviços sofisticados de inteligência patrimonial. Uma solução B2B local pode apoiar a retenção de conhecimento financeiro e de relacionamentos de longo prazo no estado, sem substituir o dever fiduciário, a análise profissional ou a decisão do cliente. O valor econômico vem da padronização do processo e da redução de retrabalho, não de promessas de performance.</w:t>
      </w:r>
    </w:p>
    <w:p>
      <w:pPr>
        <w:pStyle w:val="Heading2"/>
      </w:pPr>
      <w:r>
        <w:t>2. FUNDAMENTAÇÃO TEÓRICA E CONCEITUAL SUBJACENTE</w:t>
      </w:r>
    </w:p>
    <w:p>
      <w:pPr/>
      <w:r>
        <w:t>A plataforma parte da Teoria Moderna de Carteiras, que formaliza a relação entre retorno esperado, risco e diversificação, e de extensões que combinam visões qualitativas com regras quantitativas. No Benevente, o modelo de linguagem não determina pesos de carteira. Ele pode estruturar uma tese e apontar riscos, mas os pesos são calculados por um otimizador convexo sujeito a limites de concentração, exposição a ações, liquidez, custos e reserva em CDI.</w:t>
      </w:r>
    </w:p>
    <w:p>
      <w:pPr/>
      <w:r>
        <w:t>A seleção de ativos é orientada por valor e qualidade. Para empresas não financeiras, a elegibilidade requer liquidez e capitalização mínimas, geração positiva de caixa, ROIC mínimo e filtros de endividamento e cobertura de juros. Para instituições financeiras, os critérios respeitam a taxonomia de seus demonstrativos, privilegiando ROE e preço sobre valor patrimonial. Ausência de dado comparável é motivo de reprovação, e não de inferência favorável.</w:t>
      </w:r>
    </w:p>
    <w:p>
      <w:pPr>
        <w:pStyle w:val="Heading2"/>
      </w:pPr>
      <w:r>
        <w:t>3. DESCRIÇÃO DO PRODUTO TECNOLÓGICO</w:t>
      </w:r>
    </w:p>
    <w:p>
      <w:pPr>
        <w:pStyle w:val="Heading3"/>
      </w:pPr>
      <w:r>
        <w:t>3.1 Arquitetura e fontes</w:t>
      </w:r>
    </w:p>
    <w:p>
      <w:pPr/>
      <w:r>
        <w:t>A camada de dados usa séries de CDI, Selic e IPCA do Sistema Gerenciador de Séries Temporais do Banco Central. Para fundamentos correntes, utiliza o ITR trimestral e o DFP anual estruturados da CVM. O cálculo de métricas trailing-twelve-months segue a ponte: DFP anual anterior + ITR atual - ITR comparativo. A data de recebimento do documento limita sua disponibilidade; uma informação divulgada após a decisão não pode entrar na proposta.</w:t>
      </w:r>
    </w:p>
    <w:p>
      <w:pPr>
        <w:pStyle w:val="Heading3"/>
      </w:pPr>
      <w:r>
        <w:t>3.2 Proposta de carteira</w:t>
      </w:r>
    </w:p>
    <w:p>
      <w:pPr/>
      <w:r>
        <w:t>O usuário institucional escolhe perfil de risco, horizonte de 1, 2, 5, 10 ou 15 anos, limites de renda variável, posição máxima, custo máximo de rebalanceamento, frequência de revisão, ativos excluídos e eventual exposição global via instrumentos negociados na B3. O sistema aplica padrões para perfis conservador, moderado, crescimento e agressivo, mas permite personalização avançada. Uma proposta só é emitida após a política ser explicitamente reconhecida e após a verificação de dados de mercado datados e atribuídos a B3, corretora ou fornecedor licenciado.</w:t>
      </w:r>
    </w:p>
    <w:p>
      <w:pPr>
        <w:pStyle w:val="Heading3"/>
      </w:pPr>
      <w:r>
        <w:t>3.3 Controle operacional</w:t>
      </w:r>
    </w:p>
    <w:p>
      <w:pPr/>
      <w:r>
        <w:t>O Benevente Wealth System gera proposta e trilha de auditoria, não transmite ordens. Quando o usuário aprova uma proposta, a entrada da ordem ocorre manualmente na corretora. Preço, quantidade, custos estimados e custos realizados são conciliados a partir da nota de corretagem. Essa separação reduz risco operacional e mantém a responsabilidade decisória na instituição e no investidor.</w:t>
      </w:r>
    </w:p>
    <w:p>
      <w:pPr>
        <w:pStyle w:val="Heading2"/>
      </w:pPr>
      <w:r>
        <w:t>4. PROPOSTA DE VALOR E MODELO DE MONETIZAÇÃO</w:t>
      </w:r>
    </w:p>
    <w:p>
      <w:pPr/>
      <w:r>
        <w:t>A plataforma entrega um núcleo de pesquisa e governança que pode ser incorporado aos processos de atendimento, comitê de investimentos e monitoramento de carteiras. O produto não depende de remuneração por distribuição de ativos e deve preservar a independência da análise. A estratégia comercial deve ser validada com pilotos B2B, contratos de licenciamento e métricas de adoção, evitando vincular faturamento a resultados de investimento.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Oferta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Valor entregue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Métrica de validação</w:t>
            </w:r>
          </w:p>
        </w:tc>
      </w:tr>
      <w:tr>
        <w:tc>
          <w:tcPr>
            <w:tcW w:type="dxa" w:w="2340"/>
          </w:tcPr>
          <w:p>
            <w:r>
              <w:t>Research Workspace</w:t>
            </w:r>
          </w:p>
        </w:tc>
        <w:tc>
          <w:tcPr>
            <w:tcW w:type="dxa" w:w="2340"/>
          </w:tcPr>
          <w:p>
            <w:r>
              <w:t>Consultorias e RIAs habilitados</w:t>
            </w:r>
          </w:p>
        </w:tc>
        <w:tc>
          <w:tcPr>
            <w:tcW w:type="dxa" w:w="2340"/>
          </w:tcPr>
          <w:p>
            <w:r>
              <w:t>Triagem, propostas auditáveis e relatórios</w:t>
            </w:r>
          </w:p>
        </w:tc>
        <w:tc>
          <w:tcPr>
            <w:tcW w:type="dxa" w:w="2340"/>
          </w:tcPr>
          <w:p>
            <w:r>
              <w:t>Tempo de análise e aderência ao processo</w:t>
            </w:r>
          </w:p>
        </w:tc>
      </w:tr>
      <w:tr>
        <w:tc>
          <w:tcPr>
            <w:tcW w:type="dxa" w:w="2340"/>
          </w:tcPr>
          <w:p>
            <w:r>
              <w:t>Governance Suite</w:t>
            </w:r>
          </w:p>
        </w:tc>
        <w:tc>
          <w:tcPr>
            <w:tcW w:type="dxa" w:w="2340"/>
          </w:tcPr>
          <w:p>
            <w:r>
              <w:t>Family offices e gestoras</w:t>
            </w:r>
          </w:p>
        </w:tc>
        <w:tc>
          <w:tcPr>
            <w:tcW w:type="dxa" w:w="2340"/>
          </w:tcPr>
          <w:p>
            <w:r>
              <w:t>Políticas, comitê, carteira-sombra e conciliação</w:t>
            </w:r>
          </w:p>
        </w:tc>
        <w:tc>
          <w:tcPr>
            <w:tcW w:type="dxa" w:w="2340"/>
          </w:tcPr>
          <w:p>
            <w:r>
              <w:t>Cobertura de auditoria e redução de retrabalho</w:t>
            </w:r>
          </w:p>
        </w:tc>
      </w:tr>
      <w:tr>
        <w:tc>
          <w:tcPr>
            <w:tcW w:type="dxa" w:w="2340"/>
          </w:tcPr>
          <w:p>
            <w:r>
              <w:t>API de Pesquisa</w:t>
            </w:r>
          </w:p>
        </w:tc>
        <w:tc>
          <w:tcPr>
            <w:tcW w:type="dxa" w:w="2340"/>
          </w:tcPr>
          <w:p>
            <w:r>
              <w:t>Fintechs e instituições</w:t>
            </w:r>
          </w:p>
        </w:tc>
        <w:tc>
          <w:tcPr>
            <w:tcW w:type="dxa" w:w="2340"/>
          </w:tcPr>
          <w:p>
            <w:r>
              <w:t>Integração de telas, regras e relatórios</w:t>
            </w:r>
          </w:p>
        </w:tc>
        <w:tc>
          <w:tcPr>
            <w:tcW w:type="dxa" w:w="2340"/>
          </w:tcPr>
          <w:p>
            <w:r>
              <w:t>Disponibilidade, rastreabilidade e uso mensal</w:t>
            </w:r>
          </w:p>
        </w:tc>
      </w:tr>
    </w:tbl>
    <w:p>
      <w:pPr>
        <w:pStyle w:val="Heading2"/>
      </w:pPr>
      <w:r>
        <w:t>5. VALIDAÇÃO EMPÍRICA E PILOTO PROSPECTIVO</w:t>
      </w:r>
    </w:p>
    <w:p>
      <w:pPr>
        <w:pStyle w:val="Heading3"/>
      </w:pPr>
      <w:r>
        <w:t>5.1 Evidência histórica reproduzível</w:t>
      </w:r>
    </w:p>
    <w:p>
      <w:pPr/>
      <w:r>
        <w:t>A avaliação arquivada utiliza preços ajustados de ações B3 e Ibovespa por meio de fonte secundária, além de CDI e variáveis macroeconômicas do Banco Central. As janelas de 5, 10 e 15 anos foram pré-especificadas, com um ano de dados anterior reservado para lookback. São deduzidos custos de transação e slippage modelados. Os resultados abaixo não constituem previsão nem prova de superioridade persistente.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Janela</w:t>
            </w:r>
          </w:p>
        </w:tc>
        <w:tc>
          <w:tcPr>
            <w:tcW w:type="dxa" w:w="1337"/>
          </w:tcPr>
          <w:p>
            <w:r>
              <w:rPr>
                <w:b/>
              </w:rPr>
              <w:t>Estratégia</w:t>
            </w:r>
          </w:p>
        </w:tc>
        <w:tc>
          <w:tcPr>
            <w:tcW w:type="dxa" w:w="1337"/>
          </w:tcPr>
          <w:p>
            <w:r>
              <w:rPr>
                <w:b/>
              </w:rPr>
              <w:t>Retorno acum.</w:t>
            </w:r>
          </w:p>
        </w:tc>
        <w:tc>
          <w:tcPr>
            <w:tcW w:type="dxa" w:w="1337"/>
          </w:tcPr>
          <w:p>
            <w:r>
              <w:rPr>
                <w:b/>
              </w:rPr>
              <w:t>CAGR</w:t>
            </w:r>
          </w:p>
        </w:tc>
        <w:tc>
          <w:tcPr>
            <w:tcW w:type="dxa" w:w="1337"/>
          </w:tcPr>
          <w:p>
            <w:r>
              <w:rPr>
                <w:b/>
              </w:rPr>
              <w:t>Volatilidade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Máx. DD</w:t>
            </w:r>
          </w:p>
        </w:tc>
        <w:tc>
          <w:tcPr>
            <w:tcW w:type="dxa" w:w="1337"/>
          </w:tcPr>
          <w:p>
            <w:r>
              <w:rPr>
                <w:b/>
              </w:rPr>
              <w:t>Leitura</w:t>
            </w:r>
          </w:p>
        </w:tc>
      </w:tr>
      <w:tr>
        <w:tc>
          <w:tcPr>
            <w:tcW w:type="dxa" w:w="1337"/>
          </w:tcPr>
          <w:p>
            <w:r>
              <w:t>5 anos</w:t>
            </w:r>
          </w:p>
        </w:tc>
        <w:tc>
          <w:tcPr>
            <w:tcW w:type="dxa" w:w="1337"/>
          </w:tcPr>
          <w:p>
            <w:r>
              <w:t>Benevente Quant AI</w:t>
            </w:r>
          </w:p>
        </w:tc>
        <w:tc>
          <w:tcPr>
            <w:tcW w:type="dxa" w:w="1337"/>
          </w:tcPr>
          <w:p>
            <w:r>
              <w:t>69,87%</w:t>
            </w:r>
          </w:p>
        </w:tc>
        <w:tc>
          <w:tcPr>
            <w:tcW w:type="dxa" w:w="1337"/>
          </w:tcPr>
          <w:p>
            <w:r>
              <w:t>11,38%</w:t>
            </w:r>
          </w:p>
        </w:tc>
        <w:tc>
          <w:tcPr>
            <w:tcW w:type="dxa" w:w="1337"/>
          </w:tcPr>
          <w:p>
            <w:r>
              <w:t>8,69%</w:t>
            </w:r>
          </w:p>
        </w:tc>
        <w:tc>
          <w:tcPr>
            <w:tcW w:type="dxa" w:w="1337"/>
          </w:tcPr>
          <w:p>
            <w:r>
              <w:t>-11,00%</w:t>
            </w:r>
          </w:p>
        </w:tc>
        <w:tc>
          <w:tcPr>
            <w:tcW w:type="dxa" w:w="1337"/>
          </w:tcPr>
          <w:p>
            <w:r>
              <w:t>Não superou CDI (76,47%)</w:t>
            </w:r>
          </w:p>
        </w:tc>
      </w:tr>
      <w:tr>
        <w:tc>
          <w:tcPr>
            <w:tcW w:type="dxa" w:w="1337"/>
          </w:tcPr>
          <w:p>
            <w:r>
              <w:t>10 anos</w:t>
            </w:r>
          </w:p>
        </w:tc>
        <w:tc>
          <w:tcPr>
            <w:tcW w:type="dxa" w:w="1337"/>
          </w:tcPr>
          <w:p>
            <w:r>
              <w:t>Benevente Quant AI</w:t>
            </w:r>
          </w:p>
        </w:tc>
        <w:tc>
          <w:tcPr>
            <w:tcW w:type="dxa" w:w="1337"/>
          </w:tcPr>
          <w:p>
            <w:r>
              <w:t>226,23%</w:t>
            </w:r>
          </w:p>
        </w:tc>
        <w:tc>
          <w:tcPr>
            <w:tcW w:type="dxa" w:w="1337"/>
          </w:tcPr>
          <w:p>
            <w:r>
              <w:t>12,78%</w:t>
            </w:r>
          </w:p>
        </w:tc>
        <w:tc>
          <w:tcPr>
            <w:tcW w:type="dxa" w:w="1337"/>
          </w:tcPr>
          <w:p>
            <w:r>
              <w:t>15,04%</w:t>
            </w:r>
          </w:p>
        </w:tc>
        <w:tc>
          <w:tcPr>
            <w:tcW w:type="dxa" w:w="1337"/>
          </w:tcPr>
          <w:p>
            <w:r>
              <w:t>-29,59%</w:t>
            </w:r>
          </w:p>
        </w:tc>
        <w:tc>
          <w:tcPr>
            <w:tcW w:type="dxa" w:w="1337"/>
          </w:tcPr>
          <w:p>
            <w:r>
              <w:t>Superou CDI (141,66%)</w:t>
            </w:r>
          </w:p>
        </w:tc>
      </w:tr>
      <w:tr>
        <w:tc>
          <w:tcPr>
            <w:tcW w:type="dxa" w:w="1337"/>
          </w:tcPr>
          <w:p>
            <w:r>
              <w:t>15 anos</w:t>
            </w:r>
          </w:p>
        </w:tc>
        <w:tc>
          <w:tcPr>
            <w:tcW w:type="dxa" w:w="1337"/>
          </w:tcPr>
          <w:p>
            <w:r>
              <w:t>Benevente Quant AI</w:t>
            </w:r>
          </w:p>
        </w:tc>
        <w:tc>
          <w:tcPr>
            <w:tcW w:type="dxa" w:w="1337"/>
          </w:tcPr>
          <w:p>
            <w:r>
              <w:t>408,29%</w:t>
            </w:r>
          </w:p>
        </w:tc>
        <w:tc>
          <w:tcPr>
            <w:tcW w:type="dxa" w:w="1337"/>
          </w:tcPr>
          <w:p>
            <w:r>
              <w:t>11,65%</w:t>
            </w:r>
          </w:p>
        </w:tc>
        <w:tc>
          <w:tcPr>
            <w:tcW w:type="dxa" w:w="1337"/>
          </w:tcPr>
          <w:p>
            <w:r>
              <w:t>12,23%</w:t>
            </w:r>
          </w:p>
        </w:tc>
        <w:tc>
          <w:tcPr>
            <w:tcW w:type="dxa" w:w="1337"/>
          </w:tcPr>
          <w:p>
            <w:r>
              <w:t>-18,93%</w:t>
            </w:r>
          </w:p>
        </w:tc>
        <w:tc>
          <w:tcPr>
            <w:tcW w:type="dxa" w:w="1337"/>
          </w:tcPr>
          <w:p>
            <w:r>
              <w:t>Superou CDI (298,23%)</w:t>
            </w:r>
          </w:p>
        </w:tc>
      </w:tr>
      <w:tr>
        <w:tc>
          <w:tcPr>
            <w:tcW w:type="dxa" w:w="1337"/>
          </w:tcPr>
          <w:p>
            <w:r>
              <w:t>15 anos</w:t>
            </w:r>
          </w:p>
        </w:tc>
        <w:tc>
          <w:tcPr>
            <w:tcW w:type="dxa" w:w="1337"/>
          </w:tcPr>
          <w:p>
            <w:r>
              <w:t>MVO clássico</w:t>
            </w:r>
          </w:p>
        </w:tc>
        <w:tc>
          <w:tcPr>
            <w:tcW w:type="dxa" w:w="1337"/>
          </w:tcPr>
          <w:p>
            <w:r>
              <w:t>413,78%</w:t>
            </w:r>
          </w:p>
        </w:tc>
        <w:tc>
          <w:tcPr>
            <w:tcW w:type="dxa" w:w="1337"/>
          </w:tcPr>
          <w:p>
            <w:r>
              <w:t>11,73%</w:t>
            </w:r>
          </w:p>
        </w:tc>
        <w:tc>
          <w:tcPr>
            <w:tcW w:type="dxa" w:w="1337"/>
          </w:tcPr>
          <w:p>
            <w:r>
              <w:t>12,24%</w:t>
            </w:r>
          </w:p>
        </w:tc>
        <w:tc>
          <w:tcPr>
            <w:tcW w:type="dxa" w:w="1337"/>
          </w:tcPr>
          <w:p>
            <w:r>
              <w:t>-18,92%</w:t>
            </w:r>
          </w:p>
        </w:tc>
        <w:tc>
          <w:tcPr>
            <w:tcW w:type="dxa" w:w="1337"/>
          </w:tcPr>
          <w:p>
            <w:r>
              <w:t>Levemente acima do Benevente</w:t>
            </w:r>
          </w:p>
        </w:tc>
      </w:tr>
    </w:tbl>
    <w:p>
      <w:pPr>
        <w:pStyle w:val="Heading3"/>
      </w:pPr>
      <w:r>
        <w:t>5.2 Protocolo prospectivo de R$100.000</w:t>
      </w:r>
    </w:p>
    <w:p>
      <w:pPr/>
      <w:r>
        <w:t>O piloto começa com uma carteira-sombra de R$100.000, perfil moderado e horizonte inicial de cinco anos. A linha de base registra R$100.000 para carteira, CDI e Ibovespa na data de início. A cada revisão, o sistema arquiva a política aplicável, ITR/DFP utilizado, snapshot de mercado, tela de elegibilidade, pesos propostos, custo estimado e NAV. Relatórios futuros devem separar resultados prospectivos dos testes históricos e informar retorno acumulado, drawdown, turnover, custos realizados e diferença para CDI e Ibovespa. Não há ordem automática nem promessa de retorno.</w:t>
      </w:r>
    </w:p>
    <w:p>
      <w:pPr>
        <w:pStyle w:val="Heading2"/>
      </w:pPr>
      <w:r>
        <w:t>6. DESAFIOS DE IMPLEMENTAÇÃO, REGULAÇÃO E CONSIDERAÇÕES FINAIS</w:t>
      </w:r>
    </w:p>
    <w:p>
      <w:pPr>
        <w:pStyle w:val="Heading3"/>
      </w:pPr>
      <w:r>
        <w:t>6.1 Enquadramento regulatório</w:t>
      </w:r>
    </w:p>
    <w:p>
      <w:pPr/>
      <w:r>
        <w:t>A personalização de recomendações sobre valores mobiliários e a gestão de recursos são atividades submetidas a regras específicas da CVM. Sistemas automatizados não eliminam as responsabilidades do consultor ou gestor. Enquanto a estrutura regulatória, contratual e de controles não estiver estabelecida, o Benevente Wealth System deve operar como ferramenta B2B de pesquisa e apoio à decisão, com aprovação humana, documentação de riscos e sem execução autônoma.</w:t>
      </w:r>
    </w:p>
    <w:p>
      <w:pPr>
        <w:pStyle w:val="Heading3"/>
      </w:pPr>
      <w:r>
        <w:t>6.2 Limitações e evolução</w:t>
      </w:r>
    </w:p>
    <w:p>
      <w:pPr/>
      <w:r>
        <w:t>O histórico atual possui universo fixo de ações e, portanto, risco de viés de sobrevivência. Os preços vêm de fonte secundária e os custos históricos são modelados. A próxima etapa científica é construir um painel histórico ponto-no-tempo de fundamentos da CVM para testar os filtros de valor e qualidade sem alterar regras após observar os resultados. A próxima etapa comercial é validar o fluxo B2B com usuários, segurança, governança de modelos e integração documental.</w:t>
      </w:r>
    </w:p>
    <w:p>
      <w:pPr>
        <w:pStyle w:val="Heading3"/>
      </w:pPr>
      <w:r>
        <w:t>6.3 Considerações finais</w:t>
      </w:r>
    </w:p>
    <w:p>
      <w:pPr/>
      <w:r>
        <w:t>O Benevente Wealth System propõe uma infraestrutura verificável para decisões de investimento de médio e longo prazo: dados oficiais datados, regras determinísticas, otimização com restrições, explicação estruturada e trilha de auditoria. A plataforma pode fortalecer a capacidade analítica de instituições locais e nacionais, desde que seu uso preserve adequação ao perfil, responsabilidade profissional e transparência sobre incerteza e risco.</w:t>
      </w:r>
    </w:p>
    <w:p>
      <w:pPr>
        <w:pStyle w:val="Heading2"/>
        <w:pageBreakBefore/>
      </w:pPr>
      <w:r>
        <w:t>REFERÊNCIAS BIBLIOGRÁFICAS</w:t>
      </w:r>
    </w:p>
    <w:p>
      <w:pPr/>
      <w:r>
        <w:t>BANCO CENTRAL DO BRASIL. Sistema Gerenciador de Séries Temporais (SGS): séries CDI, Selic e IPCA. Disponível em: https://www.bcb.gov.br/estatisticas/sgs.</w:t>
      </w:r>
    </w:p>
    <w:p>
      <w:pPr/>
      <w:r>
        <w:t>COMISSÃO DE VALORES MOBILIÁRIOS. Formulário de Informações Trimestrais (ITR): dados abertos. Disponível em: https://dados.cvm.gov.br/dados/CIA_ABERTA/DOC/ITR/DADOS/.</w:t>
      </w:r>
    </w:p>
    <w:p>
      <w:pPr/>
      <w:r>
        <w:t>COMISSÃO DE VALORES MOBILIÁRIOS. Resolução CVM n. 19, de 25 de fevereiro de 2021. Disponível em: https://conteudo.cvm.gov.br/legislacao/resolucoes/resol019.html.</w:t>
      </w:r>
    </w:p>
    <w:p>
      <w:pPr/>
      <w:r>
        <w:t>MARKOWITZ, H. Portfolio Selection. The Journal of Finance, v. 7, n. 1, p. 77-91, 1952.</w:t>
      </w:r>
    </w:p>
    <w:p>
      <w:pPr/>
      <w:r>
        <w:t>THE DOCUMENTATION IN THE REPOSITORY. Benevente Quant AI: snapshots de dados, validações e avaliação de horizontes. Repositório do projeto, 2026.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v.br/cape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Benevente Wealth System</dc:title>
  <cp:lastModifiedBy/>
  <cp:revision>1</cp:revision>
  <dcterms:modified xsi:type="dcterms:W3CDTF">2026-08-12T18:55:08Z</dcterms:modified>
  <dc:creator/>
</cp:coreProperties>
</file>