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 w:line="240" w:lineRule="auto"/>
        <w:ind w:firstLine="0"/>
        <w:jc w:val="center"/>
      </w:pPr>
      <w:r>
        <w:rPr>
          <w:b/>
        </w:rPr>
        <w:t>BENEVENTE: UM ARTEFATO AUDITÁVEL PARA DECISÕES DE CARTEIRA POR PERFIL DE INVESTIDOR</w:t>
      </w:r>
    </w:p>
    <w:p>
      <w:pPr>
        <w:pStyle w:val="Authornames"/>
        <w:spacing w:before="0" w:after="0"/>
        <w:ind w:firstLine="0"/>
        <w:jc w:val="center"/>
      </w:pPr>
      <w:r>
        <w:t>Diego Gallina</w:t>
      </w:r>
    </w:p>
    <w:p>
      <w:pPr>
        <w:pStyle w:val="Affiliation"/>
        <w:spacing w:before="0" w:after="240"/>
        <w:ind w:firstLine="0"/>
        <w:jc w:val="center"/>
      </w:pPr>
      <w:r>
        <w:t>Pesquisador, Fucape Business School, Vitória, ES, Brasil, diego@wisesearch.com</w:t>
      </w:r>
    </w:p>
    <w:p>
      <w:pPr>
        <w:pStyle w:val="Normal"/>
        <w:keepNext/>
        <w:spacing w:before="120" w:after="120"/>
        <w:ind w:firstLine="0"/>
      </w:pPr>
      <w:r>
        <w:rPr>
          <w:b/>
        </w:rPr>
        <w:t>Resumo</w:t>
      </w:r>
    </w:p>
    <w:p>
      <w:pPr>
        <w:pStyle w:val="Normal"/>
        <w:spacing w:line="276" w:lineRule="auto" w:after="120"/>
        <w:ind w:firstLine="0"/>
      </w:pPr>
      <w:r>
        <w:t>Decisões de carteira precisam permanecer explicáveis depois de executadas. Este trabalho constrói e avalia o Benevente, um sistema que registra, para cada decisão, os dados admitidos, a regra quantitativa vigente, a carteira proposta, a explicação e a aprovação humana. A pesquisa segue design science e combina testes funcionais, auditoria adversarial e diagnóstico sequencial de onze decisões anuais entre 2015 e 2025. A política avaliada declara quatro perfis, do ultraconservador ao arrojado, com orçamento de renda variável, número de emissores e fração internacional congelados em registro público antes do período confirmatório, que começa em 2027. A declaração substituiu a busca de configurações depois de um experimento controlado: ampliar a seleção aninhada de 36 para 256 candidatos, com insumos idênticos, reduziu o retorno realizado em 2,63 pontos percentuais ao ano e levou o índice de Sharpe deflacionado de 0,957 a 0,777, abaixo do limiar de significância. Versão posterior trocou o caixa modelado por um instrumento comprável, e o retorno de cada perfil caiu entre 0,07 e 0,17 ponto ao ano (Seção 4.1.2). A auditoria dimensionou a dependência de proventos imputados, 13,9% da exposição acumulada a ações, e removê-los deixa o retorno em 16,55% ao ano, ainda acima do Ibovespa; recusou o selo de reconciliação externa após comparar 54 de 56 observações ativo-ano com a fonte primária, e manteve os intervalos de 95% do excesso cruzando zero contra caixa e Ibovespa. Os retornos históricos são, portanto, diagnóstico de desenvolvimento, não validação comercial. O modelo de linguagem não demonstrou ganho de retorno e permanece restrito à explicação. A contribuição não é a trilha de auditoria, e sim ligá-la a um protocolo congelado com critério de falseamento declarado.</w:t>
      </w:r>
    </w:p>
    <w:p>
      <w:pPr>
        <w:pStyle w:val="Normal"/>
        <w:spacing w:line="276" w:lineRule="auto" w:after="120"/>
        <w:ind w:firstLine="0"/>
        <w:jc w:val="left"/>
      </w:pPr>
      <w:r>
        <w:t>Palavras-chave: governança de investimentos; alocação de carteira; trilha de auditoria; design science; pesquisa reprodutível.</w:t>
      </w:r>
    </w:p>
    <w:p>
      <w:r>
        <w:br w:type="page"/>
      </w:r>
    </w:p>
    <w:p>
      <w:pPr>
        <w:pStyle w:val="Heading1"/>
      </w:pPr>
      <w:r>
        <w:t>1. INTRODUÇÃO: PROBLEMA, OBJETIVO E CONTRIBUIÇÃO</w:t>
      </w:r>
    </w:p>
    <w:p>
      <w:pPr>
        <w:pStyle w:val="Normal"/>
      </w:pPr>
      <w:r>
        <w:t>O problema é operacional: a decisão é tomada hoje e defendida anos depois; sem preservar dado, versão da regra e aprovação, a justificativa posterior incorpora informação que não existia. O Benevente produz proposta e registro verificável no mesmo fluxo.</w:t>
      </w:r>
    </w:p>
    <w:p>
      <w:pPr>
        <w:pStyle w:val="Normal"/>
      </w:pPr>
      <w:r>
        <w:t>Quando alguém pergunta por que uma ação entrou na carteira anos antes, quem decidiu precisa demonstrar três coisas.</w:t>
      </w:r>
    </w:p>
    <w:p>
      <w:pPr>
        <w:pStyle w:val="Normal"/>
        <w:ind w:firstLine="0"/>
        <w:numPr>
          <w:ilvl w:val="0"/>
          <w:numId w:val="3"/>
        </w:numPr>
      </w:pPr>
      <w:r>
        <w:t>Quais dados existiam naquela data: um balanço republicado em 2024 não pode aparecer como disponível em janeiro de 2023.</w:t>
      </w:r>
    </w:p>
    <w:p>
      <w:pPr>
        <w:pStyle w:val="Normal"/>
        <w:ind w:firstLine="0"/>
        <w:numPr>
          <w:ilvl w:val="0"/>
          <w:numId w:val="3"/>
        </w:numPr>
      </w:pPr>
      <w:r>
        <w:t>Qual regra estava vigente naquele janeiro, com os limites de então, e não a regra de hoje.</w:t>
      </w:r>
    </w:p>
    <w:p>
      <w:pPr>
        <w:pStyle w:val="Normal"/>
        <w:ind w:firstLine="0"/>
        <w:numPr>
          <w:ilvl w:val="0"/>
          <w:numId w:val="3"/>
        </w:numPr>
      </w:pPr>
      <w:r>
        <w:t>Quem aprovou: decisão sem responsável não é auditável, e automação sem aprovação humana desloca a responsabilidade para um sistema que não pode respondê-la.</w:t>
      </w:r>
    </w:p>
    <w:p>
      <w:pPr>
        <w:pStyle w:val="Normal"/>
      </w:pPr>
      <w:r>
        <w:t>Uma planilha sobrescreve o próprio estado e perde a autoria das alterações; um sistema fechado entrega a carteira sem evidenciar o critério. O artefato deve permitir que um terceiro refaça a decisão sem depender da memória de quem a produziu.</w:t>
      </w:r>
    </w:p>
    <w:p>
      <w:pPr>
        <w:pStyle w:val="Normal"/>
      </w:pPr>
      <w:r>
        <w:t>A pergunta prioritária, como usar modelos de linguagem acessíveis à comunidade para apoiar decisões de investimento, torna-se no Benevente uma questão de engenharia e governança: como produzir proposta e prova no mesmo fluxo, sem transferir ao texto gerado a seleção, os pesos ou a responsabilidade.</w:t>
      </w:r>
    </w:p>
    <w:p>
      <w:pPr>
        <w:pStyle w:val="Normal"/>
      </w:pPr>
      <w:r>
        <w:t>O objetivo é construir e avaliar um artefato que transforme cada decisão de carteira em documento verificável, pelo método do design science: identificar o problema, explicitar requisitos, construir e avaliar por utilidade, qualidade e evidência (Hevner et al., 2004; Peffers et al., 2007). A avaliação combina testes, inspeção das fontes, busca deliberada de erros e diagnóstico histórico. A contribuição não é a trilha de auditoria com hash e separação de papéis, que já é padrão, e sim ligá-la a um protocolo congelado antes do período avaliado, com critério de falseamento e início da amostra confirmatória declarados. Trilhas registram o que houve; esta se compromete de antemão com o que contaria como fracasso.</w:t>
      </w:r>
    </w:p>
    <w:p>
      <w:pPr>
        <w:pStyle w:val="Heading1"/>
      </w:pPr>
      <w:r>
        <w:t>2. PROBLEMA PRÁTICO E FUNDAMENTAÇÃO</w:t>
      </w:r>
    </w:p>
    <w:p>
      <w:pPr>
        <w:pStyle w:val="Normal"/>
      </w:pPr>
      <w:r>
        <w:t>O público é o investidor que decide a própria carteira e quer poder reconstruir a decisão depois: preservar o contexto em que ela foi tomada, saber por que cada ativo entrou ou não, e comparar com alternativas reconhecíveis. O artefato não recomenda a ninguém em particular. Ele aplica uma política declarada, idêntica para todos, e a carteira de cada perfil é a mesma para quem nele se enquadra; o enquadramento é regra determinística publicada, não avaliação individual. O piloto da Seção 6.3 medirá o problema e a utilidade do artefato.</w:t>
      </w:r>
    </w:p>
    <w:p>
      <w:pPr>
        <w:pStyle w:val="Normal"/>
      </w:pPr>
      <w:r>
        <w:t xml:space="preserve">Três vieses clássicos de backtesting foram tratados como requisitos de projeto. O viés de sobrevivência é mitigado ao reconstruir o universo pelo arquivo histórico da B3 e manter os deslistados; ainda resta reconciliar integralmente seus eventos societários. O viés de antecipação, ou </w:t>
      </w:r>
      <w:r>
        <w:rPr>
          <w:i/>
        </w:rPr>
        <w:t>look-ahead</w:t>
      </w:r>
      <w:r>
        <w:t xml:space="preserve">, é mitigado pela data de recebimento de ITR e DFP e pelo corte anual; republicações e fontes auxiliares continuam sujeitas a inspeção. O viés de mineração de dados, ou </w:t>
      </w:r>
      <w:r>
        <w:rPr>
          <w:i/>
        </w:rPr>
        <w:t>data-snooping</w:t>
      </w:r>
      <w:r>
        <w:t>, é limitado pela seleção aninhada, pelo prêmio de retrospectiva e pelo Sharpe deflacionado (Bailey &amp; López de Prado, 2014), mas onze decisões não substituem uma amostra prospectiva.</w:t>
      </w:r>
    </w:p>
    <w:p>
      <w:pPr>
        <w:pStyle w:val="Normal"/>
      </w:pPr>
      <w:r>
        <w:t>Markowitz (1952) fundamenta a comparação média-variância, ou MVO, calculada de modo independente sobre o mesmo conjunto elegível. Black e Litterman (1992) inspiram apenas a separação entre visões e alocação, não um modelo implementado. DeMiguel, Garlappi e Uppal (2009) justificam diversificação e cautela diante do erro de estimação; o MVO de 7,83% ao ano nesta execução descreve um comparador específico, não inferioridade geral. Qualidade, valor e confirmação de mercado dialogam com Novy-Marx (2013) e Fama e French (2015). Custos, giro e deslizamento entram no protocolo porque atritos podem consumir anomalias (Novy-Marx &amp; Velikov, 2016).</w:t>
      </w:r>
    </w:p>
    <w:p>
      <w:pPr>
        <w:pStyle w:val="Normal"/>
      </w:pPr>
      <w:r>
        <w:t>A literatura recente separa utilidade narrativa de capacidade preditiva: Perlin et al. (2025), com 30 mil simulações e 1.522 empresas anonimizadas, não encontram superioridade consistente de LLM sobre 1/N ou S&amp;P 500; Pelster e Val (2024) defendem o experimento ao vivo contra conhecimento posterior; Kim, Muhn e Nikolaev (2024) mostram extração narrativa útil sem alfa de negociação; Li et al. (2026, FINSABER) veem vantagens aparentes se deteriorarem em universos amplos e regimes distintos; FINCON (Yu et al., 2024) inspira divisão de responsabilidades, não autonomia. Esse conjunto sustenta a escolha do Benevente: a regra calcula, o modelo apenas explica fatos aprovados, e a utilidade será avaliada prospectivamente.</w:t>
      </w:r>
    </w:p>
    <w:p>
      <w:pPr>
        <w:pStyle w:val="Normal"/>
      </w:pPr>
      <w:r>
        <w:t>Essas escolhas definem o tipo de evidência que o trabalho pode produzir. O backtest é um experimento histórico sobre um protocolo, não a experiência de uma pessoa, cuja carteira implementável depende de liquidez, tributação e restrições próprias. O artefato separa, por isso, a regra que mede o sinal, a política institucional que limita o risco e o texto explicativo que apoia a revisão humana.</w:t>
      </w:r>
    </w:p>
    <w:p>
      <w:pPr>
        <w:pStyle w:val="Heading1"/>
      </w:pPr>
      <w:r>
        <w:t>3. O ARTEFATO</w:t>
      </w:r>
    </w:p>
    <w:p>
      <w:pPr>
        <w:pStyle w:val="Heading2"/>
      </w:pPr>
      <w:r>
        <w:t>3.1 VISÃO GERAL</w:t>
      </w:r>
    </w:p>
    <w:p>
      <w:pPr>
        <w:pStyle w:val="Normal"/>
      </w:pPr>
      <w:r>
        <w:t>O Benevente é um sistema de apoio à decisão que executa um protocolo anual. Em janeiro, monta a carteira usando exclusivamente dados disponíveis naquela data. Mantém a carteira pelo ano, já com custos de execução. Revisa no ciclo seguinte. O resultado do ano entra depois, apenas para avaliação, e nunca retroalimenta a decisão que o gerou.</w:t>
      </w:r>
    </w:p>
    <w:p>
      <w:pPr>
        <w:pStyle w:val="Normal"/>
      </w:pPr>
      <w:r>
        <w:t>O sistema é composto por cinco camadas.</w:t>
      </w:r>
    </w:p>
    <w:p>
      <w:pPr>
        <w:keepNext/>
        <w:spacing w:after="0"/>
      </w:pPr>
      <w:r>
        <w:rPr>
          <w:b/>
        </w:rPr>
        <w:t>Tabela 1</w:t>
      </w:r>
    </w:p>
    <w:p>
      <w:pPr>
        <w:keepNext/>
        <w:spacing w:after="80"/>
      </w:pPr>
      <w:r>
        <w:rPr>
          <w:i/>
        </w:rPr>
        <w:t>Camadas do artefato e respectivas saídas auditáveis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96"/>
        <w:gridCol w:w="3582"/>
        <w:gridCol w:w="3582"/>
      </w:tblGrid>
      <w:tr>
        <w:trPr>
          <w:cantSplit/>
          <w:tblHeader w:val="true"/>
        </w:trPr>
        <w:tc>
          <w:tcPr>
            <w:tcW w:type="dxa" w:w="1896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Camada</w:t>
            </w:r>
          </w:p>
        </w:tc>
        <w:tc>
          <w:tcPr>
            <w:tcW w:type="dxa" w:w="358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Função</w:t>
            </w:r>
          </w:p>
        </w:tc>
        <w:tc>
          <w:tcPr>
            <w:tcW w:type="dxa" w:w="358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Saída auditável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Base de dados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Universo, preços e fundamentos com data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Manifesto com SHA-256 por arquivo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Elegibilidade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Tela de aprovação por ativo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Motivo de cada reprovação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Seleção e alocação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Escore multifatorial e regra quantitativa com limites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Ranking, pesos e restrições ativas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Execução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Ordens com lote e participação no volume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Custo estimado por ordem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Governança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Aprovação humana e conciliação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Quem aprovou e diferença contra a nota de corretagem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2250"/>
            <wp:docPr id="1" name="Picture 1" descr="Fluxo do Benevente: dados B3 e CVM passam por validação, seleção quantitativa, alocação e revisão humana; o modelo de linguagem apenas explica fatos aprovados; o dossiê reúne todo o registro." title="Arquitetura auditável do Benev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ech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</w:pPr>
      <w:r>
        <w:rPr>
          <w:rFonts w:ascii="Times New Roman" w:hAnsi="Times New Roman"/>
          <w:b/>
          <w:sz w:val="16"/>
        </w:rPr>
        <w:t>Figura 1</w:t>
      </w:r>
    </w:p>
    <w:p>
      <w:pPr>
        <w:keepNext/>
        <w:spacing w:after="60"/>
        <w:ind w:firstLine="0"/>
      </w:pPr>
      <w:r>
        <w:rPr>
          <w:rFonts w:ascii="Times New Roman" w:hAnsi="Times New Roman"/>
          <w:i/>
          <w:sz w:val="16"/>
        </w:rPr>
        <w:t>Arquitetura e separação de responsabilidades do artefato</w:t>
      </w:r>
    </w:p>
    <w:p>
      <w:pPr>
        <w:spacing w:line="240" w:lineRule="auto" w:after="160"/>
        <w:ind w:firstLine="0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As setas indicam o fluxo de dados. Não existe caminho do modelo de linguagem para alterar pesos ou aprovar ordens.</w:t>
      </w:r>
    </w:p>
    <w:p>
      <w:pPr>
        <w:pStyle w:val="Normal"/>
      </w:pPr>
      <w:r>
        <w:t>O fluxo da Figura 1 separa funções que costumam aparecer misturadas: dados e fundamentos alimentam a validação; somente os ativos aceitos seguem para o cálculo; o motor quantitativo devolve pesos válidos e custos estimados; a pessoa revisa a proposta antes da aprovação. O modelo de linguagem recebe apenas fatos já calculados e os converte em nota legível, sem caminho de retorno para alterar pesos, e o dossiê registra cada etapa.</w:t>
      </w:r>
    </w:p>
    <w:p>
      <w:pPr>
        <w:pStyle w:val="Heading2"/>
      </w:pPr>
      <w:r>
        <w:t>3.2 BASE DE DADOS: O UNIVERSO DE REGISTRO É A BOLSA, NÃO O PROVEDOR</w:t>
      </w:r>
    </w:p>
    <w:p>
      <w:pPr>
        <w:pStyle w:val="Normal"/>
      </w:pPr>
      <w:r>
        <w:t>O universo de registro é o arquivo histórico de cotações da própria B3, não um feed de terceiro. O painel construído cobre 514 emissores entre 2010 e 2025, dos quais 166 deixam de negociar antes de dezembro de 2025, 77 deles antes de 2020, e 58 já haviam perdido mais de 60% do próprio topo quando pararam de negociar. Um painel montado a partir de provedor público não contém essas empresas; excluí-las equivaleria a medir apenas os sobreviventes e a superestimar o retorno da estratégia.</w:t>
      </w:r>
    </w:p>
    <w:p>
      <w:pPr>
        <w:pStyle w:val="Normal"/>
      </w:pPr>
      <w:r>
        <w:t>Preços de papéis deslistados exigem reconstruir eventos societários sem ajuda do provedor. O detector de razões redondas obteve precisão de 88,1% e recall de 23,3%; para retirá-lo da posição de fonte principal, uma rotina consultou a página pública da B3 (2026b), que respondeu para 475 das 497 séries, com 9.772 registros, 127 subscrições e 153 eventos manuais; 22 códigos ficaram sem resposta. Entre as 56 observações ativo-ano efetivamente mantidas, 54 puderam ser reconstruídas com o arquivo atual; sete divergiram do retorno ajustado publicado em mais de cinco pontos percentuais e duas observações de MRFG3 ficaram sem resposta. A série publicada continua como dado de pesquisa até que uma base histórica primária ou licenciada reproduza cada retorno desde o preço bruto.</w:t>
      </w:r>
    </w:p>
    <w:p>
      <w:pPr>
        <w:pStyle w:val="Normal"/>
      </w:pPr>
      <w:r>
        <w:t xml:space="preserve">Os fundamentos vêm dos formulários ITR e DFP da CVM, com a data de recebimento usada como porta: um documento só entra na decisão de janeiro do ano </w:t>
      </w:r>
      <w:r>
        <w:rPr>
          <w:i/>
        </w:rPr>
        <w:t>t</w:t>
      </w:r>
      <w:r>
        <w:t xml:space="preserve"> se o regulador o recebeu antes daquela data. A ponte entre o ticker da B3 e o CNPJ da CVM é construída ano a ano e sua cobertura é publicada: em 2012, primeiro ano da série, 266 de 314 ações tiveram ponte aceita e 171, fundamentos completos.</w:t>
      </w:r>
    </w:p>
    <w:p>
      <w:pPr>
        <w:pStyle w:val="Heading2"/>
      </w:pPr>
      <w:r>
        <w:t>3.3 ELEGIBILIDADE, SELEÇÃO E ALOCAÇÃO</w:t>
      </w:r>
    </w:p>
    <w:p>
      <w:pPr>
        <w:pStyle w:val="Normal"/>
      </w:pPr>
      <w:r>
        <w:t>A tela de elegibilidade reprova ativos por liquidez insuficiente, ausência de fundamento na data, alavancagem ou cobertura de juros fora do aceitável. Cada reprovação é registrada com o motivo, o que permite responder por que um papel conhecido não entrou.</w:t>
      </w:r>
    </w:p>
    <w:p>
      <w:pPr>
        <w:pStyle w:val="Normal"/>
      </w:pPr>
      <w:r>
        <w:t>O foco econômico é uma análise fundamentalista multifatorial: qualidade avalia a capacidade de remunerar o capital; valor exige preço coerente com lucros, patrimônio ou geração de caixa; o momento de doze meses funciona como confirmação de mercado; a liquidez determina se a tese é executável. Bancos e empresas operacionais recebem métricas distintas, e o retorno histórico entra como fator complementar, sem substituir os demonstrativos.</w:t>
      </w:r>
    </w:p>
    <w:p>
      <w:pPr>
        <w:pStyle w:val="Normal"/>
      </w:pPr>
      <w:r>
        <w:t>Depois da triagem, cada ativo recebe um escore comparável dentro do universo disponível naquele janeiro. A estratégia publicada faz um corte nos melhores emissores, mantém apenas uma classe por emissor e distribui o orçamento de renda variável proporcionalmente ao escore, sujeito ao número de posições e aos limites da configuração. O saldo fica no CDI. No período aqui avaliado, a configuração completa, formada pela família de fatores, pelo número de posições e pelo orçamento de ações, era escolhida ano a ano pela seleção aninhada da Seção 4.1. Desde 25 de agosto de 2026 ela é declarada e congelada por perfil de investidor, conforme a Seção 3.4.</w:t>
      </w:r>
    </w:p>
    <w:p>
      <w:pPr>
        <w:pStyle w:val="Normal"/>
      </w:pPr>
      <w:r>
        <w:t>Essa separação também organiza os nomes. Benevente designa o produto; o módulo de seleção anual e a camada de proteção intranual, registrados como Benevente 1 e Benevente 2, são os mecanismos que a política declara por perfil (Seção 3.4); Benevente Quant AI designa a pesquisa, inclusive o experimento que combina um modelo de linguagem com um otimizador convexo. A carteira histórica publicada vem da regra multifatorial determinística. O modelo de linguagem não seleciona ativos nem define pesos: transforma fatos aprovados em tese, riscos e perguntas para revisão humana.</w:t>
      </w:r>
    </w:p>
    <w:p>
      <w:pPr>
        <w:pStyle w:val="Normal"/>
      </w:pPr>
      <w:r>
        <w:t>Sem expor o código da aplicação, a lógica é verificável: o sistema elimina ativos sem dados, liquidez ou lucro compatíveis, testa quatro leituras pré-declaradas e, na versão multifatorial, combina 40% de qualidade, 40% de lucro em relação ao preço e 20% de momento em doze meses. As 36 políticas candidatas cruzam orçamentos de ações de 55%, 75% e 95%, cestas de 5, 8 ou 12 emissores e quatro sinais; somente anos encerrados ordenam as alternativas de cada janeiro. Pesos, limites, transformações e arquivos recebem SHA-256.</w:t>
      </w:r>
    </w:p>
    <w:p>
      <w:pPr>
        <w:pStyle w:val="Heading2"/>
      </w:pPr>
      <w:r>
        <w:t>3.4 A POLÍTICA VIGENTE: QUATRO PERFIS DECLARADOS</w:t>
      </w:r>
    </w:p>
    <w:p>
      <w:pPr>
        <w:pStyle w:val="Normal"/>
      </w:pPr>
      <w:r>
        <w:t>Desde agosto de 2026 o sistema opera sob uma política declarada. Em vez da busca anual, ela fixa quatro carteiras, congeladas antes da avaliação prospectiva: o ultraconservador aloca 4% do patrimônio em renda variável entre doze emissores; o conservador, 35% entre doze; o equilibrado, 55% entre oito; o arrojado, 75% entre cinco. Em todos, um quinto do orçamento de renda variável fica no IVVB11, fundo na B3 que replica o S&amp;P 500 em reais, definido pela política e não pelo escore; o saldo fica em caixa. A camada de proteção intranual atua apenas sobre a parcela doméstica, porque o sinal de estresse é calculado sobre o Ibovespa. O registro traz os hashes dos insumos, o assinante, o critério de falseamento e o início da amostra confirmatória, e nenhum parâmetro muda sem nova versão. O ultraconservador foi declarado em 30 de agosto de 2026, quatro dias depois dos outros três, e a amostra confirmatória dos quatro começa junto, em 2027. As séries de 2026 são reconstruções de agosto, com a política aplicada retroativamente a 2 de janeiro com os dados de então; nenhuma foi acompanhada desde janeiro. As Seções 4.1.1 e 4.1.2 documentam as duas revisões; a 5.1 traz o diagnóstico.</w:t>
      </w:r>
    </w:p>
    <w:p>
      <w:pPr>
        <w:pStyle w:val="Heading2"/>
      </w:pPr>
      <w:r>
        <w:t>3.5 POR QUE A DECISÃO É ANUAL</w:t>
      </w:r>
    </w:p>
    <w:p>
      <w:pPr>
        <w:pStyle w:val="Normal"/>
      </w:pPr>
      <w:r>
        <w:t>A cadência anual é coerente com o sinal e foi testada: fundamentos saem em ciclos contábeis e a tese precisa de tempo para aparecer no preço; a troca mensal vende a empresa antes do reconhecimento e multiplica decisões a justificar. A revisão em janeiro cria uma fronteira simples: o publicado até a data entra, o resto é do próximo ciclo.</w:t>
      </w:r>
    </w:p>
    <w:p>
      <w:pPr>
        <w:pStyle w:val="Normal"/>
      </w:pPr>
      <w:r>
        <w:t>Cadência anual não significa ignorar o risco por doze meses: preço, concentração, liquidez e eventos seguem monitorados, e uma política institucional pode prever gatilhos extraordinários. Significa que a reseleção sistemática ocorre uma vez ao ano. Mantidas regra e dados, a cadência anual superou a trimestral e a mensal antes dos custos; onze anos pareados não provam otimalidade, apenas ausência de evidência para trocar a regra mais simples. Notícias não entram no retorno histórico: um radar de acompanhamento lê fontes públicas e classifica alertas para revisão humana, sem alterar ativos ou pesos, porque avaliá-las exigiria um braço prospectivo com horário de publicação e decisões arquivadas antes do desfecho.</w:t>
      </w:r>
    </w:p>
    <w:p>
      <w:pPr>
        <w:pStyle w:val="Heading2"/>
      </w:pPr>
      <w:r>
        <w:t>3.6 CUSTOS, IMPOSTO E EXECUÇÃO</w:t>
      </w:r>
    </w:p>
    <w:p>
      <w:pPr>
        <w:pStyle w:val="Normal"/>
      </w:pPr>
      <w:r>
        <w:t>Duas parcelas de custo são deduzidas do retorno bruto:</w:t>
      </w:r>
    </w:p>
    <w:p>
      <w:pPr>
        <w:pStyle w:val="Normal"/>
        <w:ind w:firstLine="0"/>
        <w:numPr>
          <w:ilvl w:val="0"/>
          <w:numId w:val="1"/>
        </w:numPr>
      </w:pPr>
      <w:r>
        <w:t>Taxas da B3 e corretagem por ordem.</w:t>
      </w:r>
    </w:p>
    <w:p>
      <w:pPr>
        <w:pStyle w:val="Normal"/>
        <w:ind w:firstLine="0"/>
        <w:numPr>
          <w:ilvl w:val="0"/>
          <w:numId w:val="1"/>
        </w:numPr>
      </w:pPr>
      <w:r>
        <w:t>Deslizamento por participação no volume, proporcional ao tamanho da ordem em relação ao volume médio diário do papel, de modo que uma ordem grande em papel ilíquido recebe custo maior.</w:t>
      </w:r>
    </w:p>
    <w:p>
      <w:pPr>
        <w:pStyle w:val="Normal"/>
      </w:pPr>
      <w:r>
        <w:t xml:space="preserve">O imposto de renda é modelado à parte e </w:t>
      </w:r>
      <w:r>
        <w:t>não</w:t>
      </w:r>
      <w:r>
        <w:t xml:space="preserve"> deduzido: toda taxa anualizada aqui é bruta de imposto. O modelo aplica 15% sobre ganho em renda variável e 17,5% sobre renda fixa de 361 a 720 dias, no ano da revisão que realiza o ganho, com liquidação integral no último ano.</w:t>
      </w:r>
    </w:p>
    <w:p>
      <w:pPr>
        <w:pStyle w:val="Normal"/>
      </w:pPr>
      <w:r>
        <w:t>O sistema recusa, por regra, ordens que ultrapassem 5% do volume médio diário do papel; a ordem não é enviada.</w:t>
      </w:r>
    </w:p>
    <w:p>
      <w:pPr>
        <w:pStyle w:val="Heading2"/>
      </w:pPr>
      <w:r>
        <w:t>3.7 GOVERNANÇA: O SISTEMA PROPÕE, A PESSOA DECIDE</w:t>
      </w:r>
    </w:p>
    <w:p>
      <w:pPr>
        <w:pStyle w:val="Normal"/>
      </w:pPr>
      <w:r>
        <w:t>Quatro mecanismos delimitam o que o software pode fazer. Eles transformam a prestação de contas algorítmica em propriedade do desenho, e não em explicação produzida depois do fato (Kroll et al., 2017). A aprovação humana e o enquadramento por perfil são coerentes com a Resolução CVM nº 30; e o desenho mantém o artefato fora da consultoria individualizada, que exigiria a estrutura autorizada da Resolução CVM nº 19, porque a política é pública e igual para todos, o enquadramento é regra determinística e nenhuma orientação é produzida em função do caso de uma pessoa (Comissão de Valores Mobiliários, 2021a, 2021b).</w:t>
      </w:r>
    </w:p>
    <w:p>
      <w:pPr>
        <w:pStyle w:val="Normal"/>
        <w:ind w:firstLine="0"/>
        <w:numPr>
          <w:ilvl w:val="0"/>
          <w:numId w:val="4"/>
        </w:numPr>
      </w:pPr>
      <w:r>
        <w:t>Aprovação humana obrigatória: nenhuma ordem é transmitida, porque a arquitetura não possui esse caminho.</w:t>
      </w:r>
    </w:p>
    <w:p>
      <w:pPr>
        <w:pStyle w:val="Normal"/>
        <w:ind w:firstLine="0"/>
        <w:numPr>
          <w:ilvl w:val="0"/>
          <w:numId w:val="4"/>
        </w:numPr>
      </w:pPr>
      <w:r>
        <w:t>Papel delimitado do modelo de linguagem: o modelo organiza tese e riscos a partir de fatos já aprovados, sem definir peso, alterar limite ou aprovar ativo. Trata-se de restrição de arquitetura verificável, e a Seção 5.6 apresenta o experimento que testou o relaxamento dessa restrição.</w:t>
      </w:r>
    </w:p>
    <w:p>
      <w:pPr>
        <w:pStyle w:val="Normal"/>
        <w:ind w:firstLine="0"/>
        <w:numPr>
          <w:ilvl w:val="0"/>
          <w:numId w:val="4"/>
        </w:numPr>
      </w:pPr>
      <w:r>
        <w:t>Conciliação pós-operação: a nota de corretagem é confrontada linha a linha com a ordem proposta.</w:t>
      </w:r>
    </w:p>
    <w:p>
      <w:pPr>
        <w:pStyle w:val="Normal"/>
        <w:ind w:firstLine="0"/>
        <w:numPr>
          <w:ilvl w:val="0"/>
          <w:numId w:val="4"/>
        </w:numPr>
      </w:pPr>
      <w:r>
        <w:t>Limites explícitos e versionados: teto de renda variável, teto por emissor e reserva em caixa ficam na política, registrados antes da seleção.</w:t>
      </w:r>
    </w:p>
    <w:p>
      <w:pPr>
        <w:pStyle w:val="Heading1"/>
      </w:pPr>
      <w:r>
        <w:t>4. MÉTODO DE AVALIAÇÃO</w:t>
      </w:r>
    </w:p>
    <w:p>
      <w:pPr>
        <w:pStyle w:val="Heading2"/>
      </w:pPr>
      <w:r>
        <w:t>4.1 SEQUÊNCIA HISTÓRICA DE DESENVOLVIMENTO</w:t>
      </w:r>
    </w:p>
    <w:p>
      <w:pPr>
        <w:pStyle w:val="Normal"/>
      </w:pPr>
      <w:r>
        <w:t xml:space="preserve">O artefato admite múltiplas políticas, combinando orçamento de renda variável, número de posições e família de fatores. Publicar a melhor delas medida sobre toda a amostra seria exatamente o erro que a Seção 2 descreve. Na sequência histórica, para decidir a política do ano </w:t>
      </w:r>
      <w:r>
        <w:rPr>
          <w:i/>
        </w:rPr>
        <w:t>t</w:t>
      </w:r>
      <w:r>
        <w:t xml:space="preserve">, o sistema ordena as 36 candidatas usando somente os anos encerrados antes de </w:t>
      </w:r>
      <w:r>
        <w:rPr>
          <w:i/>
        </w:rPr>
        <w:t>t</w:t>
      </w:r>
      <w:r>
        <w:t>, pelo índice de Sharpe do excesso sobre o CDI, e adota a primeira colocada. Trocar de política é tratado como operação real e cobra rebalanceamento integral.</w:t>
      </w:r>
    </w:p>
    <w:p>
      <w:pPr>
        <w:pStyle w:val="Normal"/>
      </w:pPr>
      <w:r>
        <w:t>O ranqueamento exige no mínimo três anos encerrados. Como o painel começa em 2012, os anos de 2012 a 2014 inicializam a escolha e 2015 a 2025 formam onze decisões anuais. A ordem temporal reduz o uso direto do retorno futuro em cada decisão, mas não cria uma amostra verdadeiramente externa: os dados, filtros e hipóteses foram examinados durante o desenvolvimento do projeto. Por isso, esta janela é chamada de diagnóstico retrospectivo sequencial, e não de teste fora da amostra. O teste prospectivo começa apenas depois do congelamento descrito na Seção 4.5.</w:t>
      </w:r>
    </w:p>
    <w:p>
      <w:pPr>
        <w:pStyle w:val="Normal"/>
      </w:pPr>
      <w:r>
        <w:t>4.1.1 O experimento que motivou a política declarada</w:t>
      </w:r>
    </w:p>
    <w:p>
      <w:pPr>
        <w:pStyle w:val="Normal"/>
      </w:pPr>
      <w:r>
        <w:t>Em 25 de agosto de 2026, a defesa da Seção 4.1 foi submetida a um teste direto. Com insumos, código e janela idênticos — condição verificada pela reprodução das 36 configurações compartilhadas com diferença máxima de 5,6×10⁻¹⁷ —, a mesma seleção aninhada sobre 256 candidatos rendeu 12,68% ao ano contra 15,31% da grade de 36, uma perda de 2,63 pontos. O Sharpe deflacionado caiu de 0,957 para 0,777, abaixo da significância, porque o máximo esperado sob a hipótese nula subiu de 0,375 para 0,746 com o número de tentativas. Em 2018 o seletor ampliado dedicou o ano a uma configuração que rendeu −7,2% enquanto o CDI rendeu 6,4%. A seleção aninhada tem, portanto, um limite de capacidade: dez observações anuais não ordenam 256 candidatos, e ultrapassar o limite degrada a proteção do procedimento sem sinal visível de alerta.</w:t>
      </w:r>
    </w:p>
    <w:p>
      <w:pPr>
        <w:pStyle w:val="Normal"/>
      </w:pPr>
      <w:r>
        <w:t>A consequência de projeto foi a política declarada da Seção 3.4, congelada com assinante identificado, critério de falseamento e amostra confirmatória a partir de 2027. O experimento completo, com os controles e os negativos auxiliares, está em manuscrito próprio (declared_over_searched_2026), e cada número publicado é conferido por rotina automática contra os artefatos versionados. A mesma auditoria corrigiu a referência do Ibovespa, que passou a ser lida da série datada de origem — 11,74% ao ano e queda de 46,8% —, depois de constatada deriva na curva rebaseada do motor.</w:t>
      </w:r>
    </w:p>
    <w:p>
      <w:pPr>
        <w:pStyle w:val="Normal"/>
      </w:pPr>
      <w:r>
        <w:t>4.1.2 Resultado posterior: o caixa deixa de ser um índice (26/08/2026)</w:t>
      </w:r>
    </w:p>
    <w:p>
      <w:pPr>
        <w:pStyle w:val="Normal"/>
      </w:pPr>
      <w:r>
        <w:t>A política da Seção 4.1.1 declarava como caixa 100% do CDI capitalizado diariamente — um índice, não um instrumento: sem custódia, sem spread e sem rolagem. Registrada no dia seguinte (SHA-256 iniciado em ca2476d4), a versão 3 troca apenas esse componente por Tesouro Selic, reconstruído do arquivo diário do Tesouro Transparente e líquido da custódia da B3 na tabela histórica e do spread cobrado em cada rolagem. Nada mais muda, o que permite atribuir o efeito inteiro ao instrumento. O caixa rende 9,36% ao ano contra 9,68% do índice, e o retorno de cada perfil cai entre 0,07 e 0,17 ponto: conservador 12,34%, equilibrado 15,39% e arrojado 19,79%, com quedas máximas de −9,17%, −17,88% e −28,95%. O excesso sobre o caixa, porém, sobe entre 0,08 e 0,18 ponto, porque o comparador é integralmente caixa e a carteira não é. A troca revelou ainda que a coluna de caixa do painel anterior é constante até 2012: a escada avalia de 2015 e não era afetada, mas a seleção aninhada ordenava com o caixa rendendo zero naquele ano, penalizando as alternativas defensivas. Como as duas pontas do experimento da Seção 4.1.1 usaram o mesmo insumo, a comparação entre elas permanece válida; o que não se pode afirmar é que a ordenação teria sido idêntica com o caixa correto.</w:t>
      </w:r>
    </w:p>
    <w:p>
      <w:pPr>
        <w:pStyle w:val="Heading2"/>
      </w:pPr>
      <w:r>
        <w:t>4.2 COMPARADORES</w:t>
      </w:r>
    </w:p>
    <w:p>
      <w:pPr>
        <w:pStyle w:val="Normal"/>
      </w:pPr>
      <w:r>
        <w:t>Três referências foram calculadas independentemente.</w:t>
      </w:r>
    </w:p>
    <w:p>
      <w:pPr>
        <w:pStyle w:val="Normal"/>
        <w:ind w:firstLine="0"/>
        <w:numPr>
          <w:ilvl w:val="0"/>
          <w:numId w:val="1"/>
        </w:numPr>
      </w:pPr>
      <w:r>
        <w:t>CDI, série 12 do Banco Central, como custo de oportunidade do caixa.</w:t>
      </w:r>
    </w:p>
    <w:p>
      <w:pPr>
        <w:pStyle w:val="Normal"/>
        <w:ind w:firstLine="0"/>
        <w:numPr>
          <w:ilvl w:val="0"/>
          <w:numId w:val="1"/>
        </w:numPr>
      </w:pPr>
      <w:r>
        <w:t>Ibovespa, índice de retorno total que incorpora os proventos da carteira teórica e, por isso, é comparável a uma carteira que os reinveste (B3, 2026c).</w:t>
      </w:r>
    </w:p>
    <w:p>
      <w:pPr>
        <w:pStyle w:val="Normal"/>
        <w:ind w:firstLine="0"/>
        <w:numPr>
          <w:ilvl w:val="0"/>
          <w:numId w:val="1"/>
        </w:numPr>
      </w:pPr>
      <w:r>
        <w:t>Otimização média-variância sobre o mesmo universo elegível. Esse método estima retorno médio e covariância com dados anteriores e escolhe pesos que maximizam a relação entre retorno esperado e risco sob os mesmos limites de elegibilidade.</w:t>
      </w:r>
    </w:p>
    <w:p>
      <w:pPr>
        <w:pStyle w:val="Normal"/>
      </w:pPr>
      <w:r>
        <w:t>O último comparador merece nota: em uma versão anterior, a série rotulada como MVO era numericamente idêntica à estratégia, que assim se comparava a si mesma. O defeito foi encontrado na auditoria interna e corrigido com uma implementação independente, que passou a produzir resultados distintos, inclusive desfavoráveis à estratégia em um dos onze anos. Todos os comparadores usam as mesmas datas de início e fim da carteira.</w:t>
      </w:r>
    </w:p>
    <w:p>
      <w:pPr>
        <w:pStyle w:val="Heading2"/>
      </w:pPr>
      <w:r>
        <w:t>4.3 CORREÇÃO POR MÚLTIPLAS TENTATIVAS</w:t>
      </w:r>
    </w:p>
    <w:p>
      <w:pPr>
        <w:pStyle w:val="Normal"/>
      </w:pPr>
      <w:r>
        <w:t>Com 36 configurações avaliadas, o Sharpe da vencedora precisa ser deflacionado. Calculamos o Sharpe deflacionado com o número de tentativas, o número de observações e os momentos superiores da série de retornos.</w:t>
      </w:r>
    </w:p>
    <w:p>
      <w:pPr>
        <w:pStyle w:val="Normal"/>
      </w:pPr>
      <w:r>
        <w:t>Medimos também o prêmio de retrospectiva: a diferença entre o retorno anualizado da configuração que teria vencido a amostra inteira, escolha impossível na prática, e o da escolha aninhada. Esse número quantifica o que se ganharia publicando o vencedor da busca como se fosse resultado obtenível.</w:t>
      </w:r>
    </w:p>
    <w:p>
      <w:pPr>
        <w:pStyle w:val="Heading2"/>
      </w:pPr>
      <w:r>
        <w:t>4.4 AUDITORIA DA QUALIDADE DOS DADOS E SENSIBILIDADE</w:t>
      </w:r>
    </w:p>
    <w:p>
      <w:pPr>
        <w:pStyle w:val="Normal"/>
      </w:pPr>
      <w:r>
        <w:t>A reconstrução de retorno total combina 497 séries; em 139 delas a distribuição de proventos precisou ser imputada por falta de cobertura do provedor. A auditoria cruzou por ano a política, os pesos e o tipo de reconstrução, e mede a parcela da exposição a ações que dependeu de provento imputado. Três testes de sensibilidade complementam a inspeção: a reamostragem conjunta dos vetores anuais, com 100 mil amostras e semente registrada, que mede estabilidade interna sem criar crises novas; perdas hipotéticas aplicadas apenas à parcela investida em séries imputadas; e a remoção dessas séries, com o orçamento delas no caixa e a contribuição medida de cada posição.</w:t>
      </w:r>
    </w:p>
    <w:p>
      <w:pPr>
        <w:pStyle w:val="Heading2"/>
      </w:pPr>
      <w:r>
        <w:t>4.5 REGISTRO PROSPECTIVO</w:t>
      </w:r>
    </w:p>
    <w:p>
      <w:pPr>
        <w:pStyle w:val="Normal"/>
      </w:pPr>
      <w:r>
        <w:t>A linhagem tem cinco registros: o módulo de seleção anual, em 16 de agosto de 2026; a camada de proteção e o protocolo de acompanhamento, após as respectivas mudanças; a política por perfil, em 25 de agosto; a revisão do caixa, em 26 de agosto, que governa esta avaliação; e o quarto degrau, em 30 de agosto, que rege decisões futuras. Extensões não herdam a data dos registros anteriores. Para sustentar uma conclusão prospectiva, cada perfil precisa superar o próprio caixa declarado e o Ibovespa após custos e tributos, respeitar o critério de falseamento do registro e acumular ao menos três decisões anuais completas posteriores ao congelamento; a amostra confirmatória começa no primeiro pregão de 2027. Nenhuma observação prospectiva havia sido consumida quando a versão 3 substituiu a 2, e por isso a contagem não recomeçou — se já tivesse sido, teria recomeçado. Não existe resultado prospectivo na data deste artigo: a carteira de janeiro de 2026 antecede os registros e é carteira-sombra.</w:t>
      </w:r>
    </w:p>
    <w:p>
      <w:pPr>
        <w:pStyle w:val="Heading1"/>
      </w:pPr>
      <w:r>
        <w:t>5. RESULTADOS E DISCUSSÃO</w:t>
      </w:r>
    </w:p>
    <w:p>
      <w:pPr>
        <w:pStyle w:val="Heading2"/>
      </w:pPr>
      <w:r>
        <w:t>5.1 FUNCIONAMENTO E DIAGNÓSTICO FINANCEIRO</w:t>
      </w:r>
    </w:p>
    <w:p>
      <w:pPr>
        <w:pStyle w:val="Normal"/>
      </w:pPr>
      <w:r>
        <w:t>Cada decisão anual foi emitida com fontes, hashes, elegibilidade, ranking, pesos, custos, comparadores e justificativa, e os testes de integridade recusaram arquivo alterado, peso que não soma 100%, ordem acima do limite de liquidez e fundamento recebido após a data da decisão. A auditoria da Seção 5.7 encontrou sete defeitos no próprio processo, e as correções alteraram as métricas publicadas.</w:t>
      </w:r>
    </w:p>
    <w:p>
      <w:pPr>
        <w:pStyle w:val="Normal"/>
      </w:pPr>
      <w:r>
        <w:t>A Tabela 2 traz o diagnóstico retrospectivo da política vigente sobre 2015–2025, com custos modelados e a camada aplicada à parcela doméstica. Os valores descrevem a amostra de desenvolvimento e não constituem validação prospectiva.</w:t>
      </w:r>
    </w:p>
    <w:p>
      <w:pPr>
        <w:keepNext/>
        <w:spacing w:after="0"/>
      </w:pPr>
      <w:r>
        <w:rPr>
          <w:b/>
        </w:rPr>
        <w:t>Tabela 2</w:t>
      </w:r>
    </w:p>
    <w:p>
      <w:pPr>
        <w:keepNext/>
        <w:spacing w:after="80"/>
      </w:pPr>
      <w:r>
        <w:rPr>
          <w:i/>
        </w:rPr>
        <w:t>Diagnóstico retrospectivo dos três perfis declarados entre 2015 e 2025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479"/>
        <w:gridCol w:w="1294"/>
        <w:gridCol w:w="900"/>
        <w:gridCol w:w="1664"/>
        <w:gridCol w:w="1109"/>
        <w:gridCol w:w="1109"/>
        <w:gridCol w:w="1505"/>
      </w:tblGrid>
      <w:tr>
        <w:trPr>
          <w:cantSplit/>
          <w:tblHeader w:val="true"/>
        </w:trPr>
        <w:tc>
          <w:tcPr>
            <w:tcW w:type="dxa" w:w="147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Perfil</w:t>
            </w:r>
          </w:p>
        </w:tc>
        <w:tc>
          <w:tcPr>
            <w:tcW w:type="dxa" w:w="1294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Renda variável</w:t>
            </w:r>
          </w:p>
        </w:tc>
        <w:tc>
          <w:tcPr>
            <w:tcW w:type="dxa" w:w="90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Emissores</w:t>
            </w:r>
          </w:p>
        </w:tc>
        <w:tc>
          <w:tcPr>
            <w:tcW w:type="dxa" w:w="1664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Retorno anualizado</w:t>
            </w:r>
          </w:p>
        </w:tc>
        <w:tc>
          <w:tcPr>
            <w:tcW w:type="dxa" w:w="110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Volatilidade</w:t>
            </w:r>
          </w:p>
        </w:tc>
        <w:tc>
          <w:tcPr>
            <w:tcW w:type="dxa" w:w="110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Queda máxima</w:t>
            </w:r>
          </w:p>
        </w:tc>
        <w:tc>
          <w:tcPr>
            <w:tcW w:type="dxa" w:w="150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Anos acima do CDI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Ultraconservador</w:t>
            </w:r>
          </w:p>
        </w:tc>
        <w:tc>
          <w:tcPr>
            <w:tcW w:type="dxa" w:w="129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4%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66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9,73%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0,74%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−0,81%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 de 11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Conservador</w:t>
            </w:r>
          </w:p>
        </w:tc>
        <w:tc>
          <w:tcPr>
            <w:tcW w:type="dxa" w:w="129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35%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66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12,34%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5,85%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−9,17%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 de 11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Equilibrado</w:t>
            </w:r>
          </w:p>
        </w:tc>
        <w:tc>
          <w:tcPr>
            <w:tcW w:type="dxa" w:w="129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55%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66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15,39%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10,51%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−17,88%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 de 11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Arrojado</w:t>
            </w:r>
          </w:p>
        </w:tc>
        <w:tc>
          <w:tcPr>
            <w:tcW w:type="dxa" w:w="129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75%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66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19,79%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16,95%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−28,95%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 de 11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Ibovespa</w:t>
            </w:r>
          </w:p>
        </w:tc>
        <w:tc>
          <w:tcPr>
            <w:tcW w:type="dxa" w:w="129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6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11,74%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23,37%</w:t>
            </w:r>
          </w:p>
        </w:tc>
        <w:tc>
          <w:tcPr>
            <w:tcW w:type="dxa" w:w="110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−46,82%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47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Tesouro Selic</w:t>
            </w:r>
          </w:p>
        </w:tc>
        <w:tc>
          <w:tcPr>
            <w:tcW w:type="dxa" w:w="1294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664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9,36%</w:t>
            </w:r>
          </w:p>
        </w:tc>
        <w:tc>
          <w:tcPr>
            <w:tcW w:type="dxa" w:w="110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0,29%</w:t>
            </w:r>
          </w:p>
        </w:tc>
        <w:tc>
          <w:tcPr>
            <w:tcW w:type="dxa" w:w="110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−0,60%</w:t>
            </w:r>
          </w:p>
        </w:tc>
        <w:tc>
          <w:tcPr>
            <w:tcW w:type="dxa" w:w="150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Os quatro perfis preservam a ordenação declarada de risco: retorno e queda máxima crescem juntos do ultraconservador ao arrojado, e nenhum se aproximou da queda máxima do Ibovespa. Só o ultraconservador fica abaixo do índice, o esperado de uma carteira com 4% em ações.</w:t>
      </w:r>
    </w:p>
    <w:p>
      <w:pPr>
        <w:pStyle w:val="Normal"/>
      </w:pPr>
      <w:r>
        <w:t>As análises das Seções 5.2 a 5.4 — imputação, reamostragem pareada e correção por múltiplas tentativas — foram conduzidas sobre a série de desenvolvimento do módulo de seleção, que tem o histórico de auditoria mais longo. A Tabela 3 traz essa série e seus comparadores, líquidos de custos estimados.</w:t>
      </w:r>
    </w:p>
    <w:p>
      <w:pPr>
        <w:keepNext/>
        <w:spacing w:after="0"/>
      </w:pPr>
      <w:r>
        <w:rPr>
          <w:b/>
        </w:rPr>
        <w:t>Tabela 3</w:t>
      </w:r>
    </w:p>
    <w:p>
      <w:pPr>
        <w:keepNext/>
        <w:spacing w:after="80"/>
      </w:pPr>
      <w:r>
        <w:rPr>
          <w:i/>
        </w:rPr>
        <w:t>Diagnóstico retrospectivo da série de desenvolvimento e dos comparadores entre 2015 e 2025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2826"/>
        <w:gridCol w:w="1496"/>
        <w:gridCol w:w="2078"/>
        <w:gridCol w:w="1081"/>
        <w:gridCol w:w="1579"/>
      </w:tblGrid>
      <w:tr>
        <w:trPr>
          <w:cantSplit/>
          <w:tblHeader w:val="true"/>
        </w:trPr>
        <w:tc>
          <w:tcPr>
            <w:tcW w:type="dxa" w:w="2826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Série</w:t>
            </w:r>
          </w:p>
        </w:tc>
        <w:tc>
          <w:tcPr>
            <w:tcW w:type="dxa" w:w="1496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Retorno anualizado</w:t>
            </w:r>
          </w:p>
        </w:tc>
        <w:tc>
          <w:tcPr>
            <w:tcW w:type="dxa" w:w="207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Valor final de R$ 100 mil</w:t>
            </w:r>
          </w:p>
        </w:tc>
        <w:tc>
          <w:tcPr>
            <w:tcW w:type="dxa" w:w="108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Anos vencidos</w:t>
            </w:r>
          </w:p>
        </w:tc>
        <w:tc>
          <w:tcPr>
            <w:tcW w:type="dxa" w:w="157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Queda máxima diária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Seleção anual (Benevente 1)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17,86%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R$ 609.832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−47,8%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 proteção (Benevente 2), antes do IR incremental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18,45%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R$ 643.774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−28,7%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 proteção (Benevente 2), após estimativa do IR incremental¹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18,29%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R$ 634.531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−28,7%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Seleção anual (Benevente 1), após modelo anual de IR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16,03%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R$ 513.052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Ibovespa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11,77%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R$ 340.068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 de 11</w:t>
            </w: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−47,0%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CDI</w:t>
            </w:r>
          </w:p>
        </w:tc>
        <w:tc>
          <w:tcPr>
            <w:tcW w:type="dxa" w:w="14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9,61%</w:t>
            </w:r>
          </w:p>
        </w:tc>
        <w:tc>
          <w:tcPr>
            <w:tcW w:type="dxa" w:w="207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R$ 274.368</w:t>
            </w:r>
          </w:p>
        </w:tc>
        <w:tc>
          <w:tcPr>
            <w:tcW w:type="dxa" w:w="108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 de 11</w:t>
            </w:r>
          </w:p>
        </w:tc>
        <w:tc>
          <w:tcPr>
            <w:tcW w:type="dxa" w:w="157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2826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MVO neutra, mesmo universo</w:t>
            </w:r>
          </w:p>
        </w:tc>
        <w:tc>
          <w:tcPr>
            <w:tcW w:type="dxa" w:w="1496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7,83%</w:t>
            </w:r>
          </w:p>
        </w:tc>
        <w:tc>
          <w:tcPr>
            <w:tcW w:type="dxa" w:w="207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R$ 229.255</w:t>
            </w:r>
          </w:p>
        </w:tc>
        <w:tc>
          <w:tcPr>
            <w:tcW w:type="dxa" w:w="108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de 11</w:t>
            </w:r>
          </w:p>
        </w:tc>
        <w:tc>
          <w:tcPr>
            <w:tcW w:type="dxa" w:w="157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¹ Estimativa agregada para R$ 100 mil, com alíquota de 15%, isenção mensal quando as vendas não superam R$ 20 mil e compensação de perdas. Ela mede apenas o imposto adicional causado pelas reduções intranuais do Benevente 2; não substitui a apuração por lote nem a conciliação de notas de corretagem.</w:t>
      </w:r>
    </w:p>
    <w:p>
      <w:pPr>
        <w:pStyle w:val="Normal"/>
      </w:pPr>
      <w:r>
        <w:t>A coluna em reais traduz a taxa anualizada em escala econômica. Esses valores dependem da qualidade da série reconstruída e devem ser lidos junto com a Seção 5.2.</w:t>
      </w:r>
    </w:p>
    <w:p>
      <w:pPr>
        <w:pStyle w:val="Normal"/>
      </w:pPr>
      <w:r>
        <w:t>Em janelas móveis, contra o CDI a série vence 8 de 9 janelas de três anos, 6 de 7 de cinco e 2 de 2 de dez; contra a otimização de referência, vence todas. As janelas se sobrepõem, então descrevem a amostra sem aumentar seu tamanho.</w:t>
      </w:r>
    </w:p>
    <w:p>
      <w:pPr>
        <w:pStyle w:val="Normal"/>
      </w:pPr>
      <w:r>
        <w:t>O retorno da série de desenvolvimento veio com risco elevado: a queda máxima diária chegou a 47,8%, próxima aos 47,0% do Ibovespa, porque entre 2018 e 2021 a política então selecionada manteve 95% em ações concentradas em cinco ou seis emissores. A camada de proteção preservou os mesmos ativos e reduziu a exposição só depois de estresse observado, levando a queda a 28,7%, com a maior perda na Covid-19. É por isso que a política vigente limita o orçamento por perfil: a amostra não permite afirmar proteção futura, mas a ordenação de risco da Tabela 2 é propriedade de construção, não de ajuste.</w:t>
      </w:r>
    </w:p>
    <w:p>
      <w:pPr>
        <w:pStyle w:val="Heading2"/>
      </w:pPr>
      <w:r>
        <w:t>5.2 QUALIDADE DOS DADOS E DEPENDÊNCIA DE IMPUTAÇÃO</w:t>
      </w:r>
    </w:p>
    <w:p>
      <w:pPr>
        <w:pStyle w:val="Normal"/>
      </w:pPr>
      <w:r>
        <w:t>O painel contém 139 séries com proventos imputados, mas a carteira não as utilizou de modo uniforme. Somando somente a parcela de ações escolhida em cada ano, 13,9% da exposição acumulada dependeu de imputação. O caso mais relevante ocorreu em 2020: AZUL4 e MRFG3 representaram 50% da carteira total. Em cinco dos onze anos houve alguma exposição; nos demais, nenhuma série escolhida dependia desse procedimento.</w:t>
      </w:r>
    </w:p>
    <w:p>
      <w:pPr>
        <w:keepNext/>
        <w:spacing w:after="0"/>
      </w:pPr>
      <w:r>
        <w:rPr>
          <w:b/>
        </w:rPr>
        <w:t>Tabela 4</w:t>
      </w:r>
    </w:p>
    <w:p>
      <w:pPr>
        <w:keepNext/>
        <w:spacing w:after="80"/>
      </w:pPr>
      <w:r>
        <w:rPr>
          <w:i/>
        </w:rPr>
        <w:t>Exposição anual a séries com proventos imputados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272"/>
        <w:gridCol w:w="4768"/>
        <w:gridCol w:w="3020"/>
      </w:tblGrid>
      <w:tr>
        <w:trPr>
          <w:cantSplit/>
          <w:tblHeader w:val="true"/>
        </w:trPr>
        <w:tc>
          <w:tcPr>
            <w:tcW w:type="dxa" w:w="127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Ano</w:t>
            </w:r>
          </w:p>
        </w:tc>
        <w:tc>
          <w:tcPr>
            <w:tcW w:type="dxa" w:w="476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Peso total em séries imputadas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Séries selecionadas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2015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CIEL3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2016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24,0%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ENBR3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2020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50,0%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AZUL4 e MRFG3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2021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MRFG3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2025</w:t>
            </w:r>
          </w:p>
        </w:tc>
        <w:tc>
          <w:tcPr>
            <w:tcW w:type="dxa" w:w="476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5,0%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STBP3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Penalizar apenas a parcela imputada em 10 pontos percentuais reduz o retorno anualizado de 17,86% para 16,78%; a carteira deixa de superar o Ibovespa perto de 53 pontos de penalização, e o CDI, perto de 70. Um teste mais direto remove as séries imputadas e aplica o orçamento delas no caixa, usando a contribuição medida de cada posição: o retorno cai para 16,55%, ainda acima do Ibovespa e do CDI. A dependência se concentra em dois anos, 2021, que perde 14,7 pontos, e 2020, que passa de +1,78% para −0,51%. Como o alocador teria escolhido outro papel, e não caixa, 16,55% é piso. Nada disso repara o dado.</w:t>
      </w:r>
    </w:p>
    <w:p>
      <w:pPr>
        <w:pStyle w:val="Heading2"/>
      </w:pPr>
      <w:r>
        <w:t>5.3 INCERTEZA DA AMOSTRA</w:t>
      </w:r>
    </w:p>
    <w:p>
      <w:pPr>
        <w:pStyle w:val="Normal"/>
      </w:pPr>
      <w:r>
        <w:t>A reamostragem pareada preserva, em cada sorteio, o mesmo ano da estratégia e dos comparadores. Em 100 mil amostras, a probabilidade interna de excesso positivo foi alta, mas o intervalo de 95% cruzou zero contra CDI e Ibovespa; somente a comparação com a implementação de MVO permaneceu positiva em todo o intervalo. A ordenação observada não dependeu de um único ano sorteado repetidamente, o que não equivale a superioridade na população.</w:t>
      </w:r>
    </w:p>
    <w:p>
      <w:pPr>
        <w:keepNext/>
        <w:spacing w:after="0"/>
      </w:pPr>
      <w:r>
        <w:rPr>
          <w:b/>
        </w:rPr>
        <w:t>Tabela 5</w:t>
      </w:r>
    </w:p>
    <w:p>
      <w:pPr>
        <w:keepNext/>
        <w:spacing w:after="80"/>
      </w:pPr>
      <w:r>
        <w:rPr>
          <w:i/>
        </w:rPr>
        <w:t>Incerteza do excesso de retorno em reamostragem pareada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639"/>
        <w:gridCol w:w="2795"/>
        <w:gridCol w:w="2795"/>
        <w:gridCol w:w="1831"/>
      </w:tblGrid>
      <w:tr>
        <w:trPr>
          <w:cantSplit/>
          <w:tblHeader w:val="true"/>
        </w:trPr>
        <w:tc>
          <w:tcPr>
            <w:tcW w:type="dxa" w:w="163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Comparador</w:t>
            </w:r>
          </w:p>
        </w:tc>
        <w:tc>
          <w:tcPr>
            <w:tcW w:type="dxa" w:w="279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Amostras com excesso positivo</w:t>
            </w:r>
          </w:p>
        </w:tc>
        <w:tc>
          <w:tcPr>
            <w:tcW w:type="dxa" w:w="279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Mediana do excesso anualizado</w:t>
            </w:r>
          </w:p>
        </w:tc>
        <w:tc>
          <w:tcPr>
            <w:tcW w:type="dxa" w:w="183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Intervalo de 95%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CDI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93,4%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+8,19 p.p.</w:t>
            </w:r>
          </w:p>
        </w:tc>
        <w:tc>
          <w:tcPr>
            <w:tcW w:type="dxa" w:w="183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−2,27 a +20,01 p.p.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MVO de referência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100,0%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+10,06 p.p.</w:t>
            </w:r>
          </w:p>
        </w:tc>
        <w:tc>
          <w:tcPr>
            <w:tcW w:type="dxa" w:w="183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+4,73 a +15,29 p.p.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Ibovespa</w:t>
            </w:r>
          </w:p>
        </w:tc>
        <w:tc>
          <w:tcPr>
            <w:tcW w:type="dxa" w:w="279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94,4%</w:t>
            </w:r>
          </w:p>
        </w:tc>
        <w:tc>
          <w:tcPr>
            <w:tcW w:type="dxa" w:w="279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+5,94 p.p.</w:t>
            </w:r>
          </w:p>
        </w:tc>
        <w:tc>
          <w:tcPr>
            <w:tcW w:type="dxa" w:w="183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−1,31 a +14,28 p.p.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 limite do procedimento é importante: reamostrar onze anos não cria regimes que não estejam na série nem transforma desenvolvimento em validação externa. A informação obtida é a estabilidade interna suficiente para continuar o teste prospectivo, não a comprovação de superioridade.</w:t>
      </w:r>
    </w:p>
    <w:p>
      <w:pPr>
        <w:pStyle w:val="Heading2"/>
      </w:pPr>
      <w:r>
        <w:t>5.4 CORREÇÃO POR MÚLTIPLAS TENTATIVAS</w:t>
      </w:r>
    </w:p>
    <w:p>
      <w:pPr>
        <w:keepNext/>
        <w:spacing w:after="0"/>
      </w:pPr>
      <w:r>
        <w:rPr>
          <w:b/>
        </w:rPr>
        <w:t>Tabela 6</w:t>
      </w:r>
    </w:p>
    <w:p>
      <w:pPr>
        <w:keepNext/>
        <w:spacing w:after="80"/>
      </w:pPr>
      <w:r>
        <w:rPr>
          <w:i/>
        </w:rPr>
        <w:t>Estatísticas de correção por múltiplas tentativas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6161"/>
        <w:gridCol w:w="2899"/>
      </w:tblGrid>
      <w:tr>
        <w:trPr>
          <w:cantSplit/>
          <w:tblHeader w:val="true"/>
        </w:trPr>
        <w:tc>
          <w:tcPr>
            <w:tcW w:type="dxa" w:w="616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Estatística</w:t>
            </w:r>
          </w:p>
        </w:tc>
        <w:tc>
          <w:tcPr>
            <w:tcW w:type="dxa" w:w="289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Sharpe observado do excesso sobre o CDI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0,933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Sharpe máximo esperado sob a hipótese nula, com 36 tentativas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0,355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Probabilidade do Sharpe deflacionado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0,986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Significante a 95%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Prêmio de retrospectiva</w:t>
            </w:r>
          </w:p>
        </w:tc>
        <w:tc>
          <w:tcPr>
            <w:tcW w:type="dxa" w:w="289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0,65 p.p. ao ano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 prêmio de retrospectiva indica que escolher a política vencedora conhecendo toda a amostra teria rendido 0,65 ponto percentual a mais por ano do que a escolha sequencial; em uma versão anterior, com um ano a menos de histórico inicial, esse prêmio era de 4,98 pontos. O Sharpe deflacionado corrige múltiplas tentativas, mas não resolve a dependência de dados nem a ausência de teste prospectivo: é uma defesa contra uma forma específica de sobreajuste, não um certificado geral de validade.</w:t>
      </w:r>
    </w:p>
    <w:p>
      <w:pPr>
        <w:pStyle w:val="Heading2"/>
      </w:pPr>
      <w:r>
        <w:t>5.5 O QUE NÃO FUNCIONOU</w:t>
      </w:r>
    </w:p>
    <w:p>
      <w:pPr>
        <w:pStyle w:val="Normal"/>
      </w:pPr>
      <w:r>
        <w:t>Oito hipóteses foram testadas e nenhuma se sustentou de forma suficiente para substituir a política principal. Elas são publicadas porque um artefato que só reporta o que deu certo não é auditável.</w:t>
      </w:r>
    </w:p>
    <w:p>
      <w:pPr>
        <w:pStyle w:val="Normal"/>
      </w:pPr>
      <w:r>
        <w:t>Ampliar a busca de configurações. Conforme a Seção 4.1.1, passar de 36 para 256 candidatos custou 2,63 pontos ao ano e a significância. Foi a rejeição que reorganizou o protocolo.</w:t>
      </w:r>
    </w:p>
    <w:p>
      <w:pPr>
        <w:pStyle w:val="Normal"/>
      </w:pPr>
      <w:r>
        <w:t>Pesar pelo inverso da volatilidade. Contra o peso publicado, proporcional ao escore, o esquema perdeu em oito das oito configurações medidas, reduzindo a queda máxima em 0,95 ponto ao custo de 2,11 pontos de retorno ao ano, e piorou o pior ano justamente nas cestas largas em que deveria ajudar.</w:t>
      </w:r>
    </w:p>
    <w:p>
      <w:pPr>
        <w:pStyle w:val="Normal"/>
      </w:pPr>
      <w:r>
        <w:t>Meta de volatilidade em janeiro. O mecanismo cortou exposição em cinco de treze anos, sempre depois de um estresse visível e nunca antes de um. Em 2020, janeiro estava calmo, o ano operou com exposição integral e a queda máxima não se alterou; em 2016, a exposição foi reduzida a 8,8% de ações em um ano em que a estratégia rendeu 35%.</w:t>
      </w:r>
    </w:p>
    <w:p>
      <w:pPr>
        <w:pStyle w:val="Normal"/>
      </w:pPr>
      <w:r>
        <w:t>Previsão anual de regime. Cinco indicadores disponíveis em janeiro (prêmio de lucro sobre o CDI, nível do CDI, retorno e volatilidade de doze meses e distância do topo) tentaram antecipar se o ano favoreceria ações ou caixa. O melhor deles acertou três de quatro chamadas (p = 0,31), resultado indistinguível do acaso; o prêmio potencial de 6,5 pontos percentuais ao ano não foi capturado por nenhum indicador.</w:t>
      </w:r>
    </w:p>
    <w:p>
      <w:pPr>
        <w:pStyle w:val="Normal"/>
      </w:pPr>
      <w:r>
        <w:t>Realocação mensal e semanal. Em 118 períodos mensais e 521 semanais, nenhuma das sete regras contínuas superou de forma significativa o peso estático, e a regra de média-variância foi significativamente pior. O prêmio por acertar o momento existe, mas nenhum sinal testado o capturou.</w:t>
      </w:r>
    </w:p>
    <w:p>
      <w:pPr>
        <w:pStyle w:val="Normal"/>
      </w:pPr>
      <w:r>
        <w:t>Reseleção mais frequente da cesta. Questão distinta da anterior: não a proporção entre ações e caixa, mas se a própria cesta deveria ser retriada mais vezes por ano. Três cadências foram comparadas com a mesma regra, os mesmos limites e o mesmo painel; apenas as datas de decisão variam.</w:t>
      </w:r>
    </w:p>
    <w:p>
      <w:pPr>
        <w:keepNext/>
        <w:spacing w:after="0"/>
      </w:pPr>
      <w:r>
        <w:rPr>
          <w:b/>
        </w:rPr>
        <w:t>Tabela 7</w:t>
      </w:r>
    </w:p>
    <w:p>
      <w:pPr>
        <w:keepNext/>
        <w:spacing w:after="80"/>
      </w:pPr>
      <w:r>
        <w:rPr>
          <w:i/>
        </w:rPr>
        <w:t>Desempenho por cadência de reseleção da carteira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438"/>
        <w:gridCol w:w="1150"/>
        <w:gridCol w:w="1438"/>
        <w:gridCol w:w="2301"/>
        <w:gridCol w:w="1150"/>
        <w:gridCol w:w="1583"/>
      </w:tblGrid>
      <w:tr>
        <w:trPr>
          <w:cantSplit/>
          <w:tblHeader w:val="true"/>
        </w:trPr>
        <w:tc>
          <w:tcPr>
            <w:tcW w:type="dxa" w:w="143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Cadência</w:t>
            </w:r>
          </w:p>
        </w:tc>
        <w:tc>
          <w:tcPr>
            <w:tcW w:type="dxa" w:w="115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Decisões</w:t>
            </w:r>
          </w:p>
        </w:tc>
        <w:tc>
          <w:tcPr>
            <w:tcW w:type="dxa" w:w="143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CAGR bruto</w:t>
            </w:r>
          </w:p>
        </w:tc>
        <w:tc>
          <w:tcPr>
            <w:tcW w:type="dxa" w:w="230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Líquido de custo</w:t>
            </w:r>
          </w:p>
        </w:tc>
        <w:tc>
          <w:tcPr>
            <w:tcW w:type="dxa" w:w="115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Após IR</w:t>
            </w:r>
          </w:p>
        </w:tc>
        <w:tc>
          <w:tcPr>
            <w:tcW w:type="dxa" w:w="158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Giro no ano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Anual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18,58%</w:t>
            </w:r>
          </w:p>
        </w:tc>
        <w:tc>
          <w:tcPr>
            <w:tcW w:type="dxa" w:w="230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18,51%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17,09%</w:t>
            </w:r>
          </w:p>
        </w:tc>
        <w:tc>
          <w:tcPr>
            <w:tcW w:type="dxa" w:w="158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62,1%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Trimestral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16,37%</w:t>
            </w:r>
          </w:p>
        </w:tc>
        <w:tc>
          <w:tcPr>
            <w:tcW w:type="dxa" w:w="230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16,25%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15,60%</w:t>
            </w:r>
          </w:p>
        </w:tc>
        <w:tc>
          <w:tcPr>
            <w:tcW w:type="dxa" w:w="158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116,0%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Mensal</w:t>
            </w:r>
          </w:p>
        </w:tc>
        <w:tc>
          <w:tcPr>
            <w:tcW w:type="dxa" w:w="115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132</w:t>
            </w:r>
          </w:p>
        </w:tc>
        <w:tc>
          <w:tcPr>
            <w:tcW w:type="dxa" w:w="143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13,92%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13,75%</w:t>
            </w:r>
          </w:p>
        </w:tc>
        <w:tc>
          <w:tcPr>
            <w:tcW w:type="dxa" w:w="115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13,32%</w:t>
            </w:r>
          </w:p>
        </w:tc>
        <w:tc>
          <w:tcPr>
            <w:tcW w:type="dxa" w:w="158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177,6%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Nenhuma cadência mais rápida superou a anual: pareada por ano-calendário e após imposto, a trimestral ficou 1,55 ponto percentual abaixo (p = 0,376) e a mensal, 3,27 (p = 0,306). A leitura correta é ausência de evidência a favor, e não prova de prejuízo. A diferença nasce antes dos custos, pois o retorno bruto cai 4,66 pontos da cadência anual para a mensal, o que indica que o sinal amadurece lentamente. O modelo tributário chega a favorecer o braço mensal, que ainda assim não venceu.</w:t>
      </w:r>
    </w:p>
    <w:p>
      <w:pPr>
        <w:pStyle w:val="Normal"/>
      </w:pPr>
      <w:r>
        <w:t>Modelo de linguagem como fonte de retorno. Este é o teste que mais interessa à governança do produto, e está detalhado a seguir.</w:t>
      </w:r>
    </w:p>
    <w:p>
      <w:pPr>
        <w:pStyle w:val="Normal"/>
      </w:pPr>
      <w:r>
        <w:t>Proteção intranual concebida depois da Covid-19, com parâmetros escolhidos apenas em 2015–2018. Fora dessa janela, em 2019–2025, a diferença anual de retorno não foi detectável (p = 0,964): o efeito medido é de queda, não de retorno. No histórico completo a queda máxima recuou de 47,8% para 28,7% e o retorno anualizado subiu de 17,86% para 18,45%, e a Tabela 2 mantém as duas séries separadas. Para R$ 100 mil, o imposto incremental das reduções foi de R$ 2.195, levando o valor terminal de R$ 643.774 para R$ 634.531. A camada integra a política declarada da Seção 3.4.</w:t>
      </w:r>
    </w:p>
    <w:p>
      <w:pPr>
        <w:pStyle w:val="Heading2"/>
      </w:pPr>
      <w:r>
        <w:t>5.6 O EXPERIMENTO COM MODELO DE LINGUAGEM: TRÊS RESULTADOS NULOS</w:t>
      </w:r>
    </w:p>
    <w:p>
      <w:pPr>
        <w:pStyle w:val="Normal"/>
      </w:pPr>
      <w:r>
        <w:t>O produto restringe o modelo de linguagem à explicação. Um experimento retrospectivo separado permitiu que ele produzisse escore ou pesos apenas para medir o custo dessa restrição. Como o treinamento do modelo pode conter notícias e desfechos posteriores, os quatro braços são diagnóstico de sensibilidade, não validação temporal da LLM.</w:t>
      </w:r>
    </w:p>
    <w:p>
      <w:pPr>
        <w:pStyle w:val="Normal"/>
      </w:pPr>
      <w:r>
        <w:t>Uma extensão prospectiva medirá fidelidade, completude, cobertura de riscos e números inventados da camada de linguagem. Ela não seleciona ativos nem herda resultados anteriores.</w:t>
      </w:r>
    </w:p>
    <w:p>
      <w:pPr>
        <w:pStyle w:val="Normal"/>
        <w:ind w:firstLine="0"/>
        <w:numPr>
          <w:ilvl w:val="0"/>
          <w:numId w:val="1"/>
        </w:numPr>
      </w:pPr>
      <w:r>
        <w:t>Nomeado: o modelo vê os nomes das empresas e devolve um escore limitado, que inclina o retorno esperado dentro do otimizador convexo.</w:t>
      </w:r>
    </w:p>
    <w:p>
      <w:pPr>
        <w:pStyle w:val="Normal"/>
        <w:ind w:firstLine="0"/>
        <w:numPr>
          <w:ilvl w:val="0"/>
          <w:numId w:val="1"/>
        </w:numPr>
      </w:pPr>
      <w:r>
        <w:t>Anonimizado: idêntico, mas com as empresas identificadas por números, de modo que o modelo vê fundamentos e não marcas.</w:t>
      </w:r>
    </w:p>
    <w:p>
      <w:pPr>
        <w:pStyle w:val="Normal"/>
        <w:ind w:firstLine="0"/>
        <w:numPr>
          <w:ilvl w:val="0"/>
          <w:numId w:val="1"/>
        </w:numPr>
      </w:pPr>
      <w:r>
        <w:t>Determinístico: controle sem modelo, ordenando o mesmo universo pelo escore de fator pré-declarado.</w:t>
      </w:r>
    </w:p>
    <w:p>
      <w:pPr>
        <w:pStyle w:val="Normal"/>
        <w:ind w:firstLine="0"/>
        <w:numPr>
          <w:ilvl w:val="0"/>
          <w:numId w:val="1"/>
        </w:numPr>
      </w:pPr>
      <w:r>
        <w:t>Monolítico: o contrafactual em que o modelo devolve pesos diretamente, sem otimizador nem restrições.</w:t>
      </w:r>
    </w:p>
    <w:p>
      <w:pPr>
        <w:keepNext/>
        <w:spacing w:after="0"/>
      </w:pPr>
      <w:r>
        <w:rPr>
          <w:b/>
        </w:rPr>
        <w:t>Tabela 8</w:t>
      </w:r>
    </w:p>
    <w:p>
      <w:pPr>
        <w:keepNext/>
        <w:spacing w:after="80"/>
      </w:pPr>
      <w:r>
        <w:rPr>
          <w:i/>
        </w:rPr>
        <w:t>Comparações do experimento com modelo de linguagem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4968"/>
        <w:gridCol w:w="2923"/>
        <w:gridCol w:w="1169"/>
      </w:tblGrid>
      <w:tr>
        <w:trPr>
          <w:cantSplit/>
          <w:tblHeader w:val="true"/>
        </w:trPr>
        <w:tc>
          <w:tcPr>
            <w:tcW w:type="dxa" w:w="496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Comparação</w:t>
            </w:r>
          </w:p>
        </w:tc>
        <w:tc>
          <w:tcPr>
            <w:tcW w:type="dxa" w:w="292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Diferença anualizada</w:t>
            </w:r>
          </w:p>
        </w:tc>
        <w:tc>
          <w:tcPr>
            <w:tcW w:type="dxa" w:w="116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Nomeado menos anonimizado (contaminação temporal)</w:t>
            </w:r>
          </w:p>
        </w:tc>
        <w:tc>
          <w:tcPr>
            <w:tcW w:type="dxa" w:w="292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+0,38 p.p.</w:t>
            </w:r>
          </w:p>
        </w:tc>
        <w:tc>
          <w:tcPr>
            <w:tcW w:type="dxa" w:w="116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0,905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Anonimizado menos determinístico (valor agregado pelo modelo)</w:t>
            </w:r>
          </w:p>
        </w:tc>
        <w:tc>
          <w:tcPr>
            <w:tcW w:type="dxa" w:w="292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−0,05 p.p.</w:t>
            </w:r>
          </w:p>
        </w:tc>
        <w:tc>
          <w:tcPr>
            <w:tcW w:type="dxa" w:w="116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0,989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Anonimizado menos monolítico (valor do desacoplamento)</w:t>
            </w:r>
          </w:p>
        </w:tc>
        <w:tc>
          <w:tcPr>
            <w:tcW w:type="dxa" w:w="292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+0,81 p.p.</w:t>
            </w:r>
          </w:p>
        </w:tc>
        <w:tc>
          <w:tcPr>
            <w:tcW w:type="dxa" w:w="116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0,777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Os três resultados não permitem rejeitar a hipótese de ausência de diferença, e cada um responde a uma pergunta distinta.</w:t>
      </w:r>
    </w:p>
    <w:p>
      <w:pPr>
        <w:pStyle w:val="Normal"/>
        <w:ind w:firstLine="0"/>
        <w:numPr>
          <w:ilvl w:val="0"/>
          <w:numId w:val="5"/>
        </w:numPr>
      </w:pPr>
      <w:r>
        <w:t>Não houve diferença detectável entre identificar as empresas pelo nome e ocultar sua identidade, o que não prova ausência de contaminação: o modelo pode inferir a empresa pelos fundamentos ou reconhecer padrões aprendidos depois do período.</w:t>
      </w:r>
    </w:p>
    <w:p>
      <w:pPr>
        <w:pStyle w:val="Normal"/>
        <w:ind w:firstLine="0"/>
        <w:numPr>
          <w:ilvl w:val="0"/>
          <w:numId w:val="5"/>
        </w:numPr>
      </w:pPr>
      <w:r>
        <w:t>O modelo não agregou retorno: o braço anonimizado ficou 0,05 ponto percentual abaixo do controle determinístico, com p = 0,989.</w:t>
      </w:r>
    </w:p>
    <w:p>
      <w:pPr>
        <w:pStyle w:val="Normal"/>
        <w:ind w:firstLine="0"/>
        <w:numPr>
          <w:ilvl w:val="0"/>
          <w:numId w:val="5"/>
        </w:numPr>
      </w:pPr>
      <w:r>
        <w:t>Manter o modelo longe dos pesos não penalizou o resultado. Quando recebeu essa função, ele produziu vetores que não somavam 100% em cinco dos treze anos e omitiu dezenas de ativos elegíveis sem sinalizar.</w:t>
      </w:r>
    </w:p>
    <w:p>
      <w:pPr>
        <w:pStyle w:val="Normal"/>
      </w:pPr>
      <w:r>
        <w:t>A conclusão de produto: o modelo organiza e explica decisões, mas não as gera. Qualquer uso futuro em sinal, ranking ou peso terá de começar depois do registro específico da versão avaliada e ser comparado prospectivamente ao controle determinístico.</w:t>
      </w:r>
    </w:p>
    <w:p>
      <w:pPr>
        <w:pStyle w:val="Heading2"/>
      </w:pPr>
      <w:r>
        <w:t>5.7 DEFEITOS ENCONTRADOS NA PRÓPRIA AUDITORIA</w:t>
      </w:r>
    </w:p>
    <w:p>
      <w:pPr>
        <w:pStyle w:val="Normal"/>
      </w:pPr>
      <w:r>
        <w:t>A auditoria interna adversarial encontrou e corrigiu sete defeitos, todos na direção de inflar o resultado.</w:t>
      </w:r>
    </w:p>
    <w:p>
      <w:pPr>
        <w:keepNext/>
        <w:spacing w:after="0"/>
      </w:pPr>
      <w:r>
        <w:rPr>
          <w:b/>
        </w:rPr>
        <w:t>Tabela 9</w:t>
      </w:r>
    </w:p>
    <w:p>
      <w:pPr>
        <w:keepNext/>
        <w:spacing w:after="80"/>
      </w:pPr>
      <w:r>
        <w:rPr>
          <w:i/>
        </w:rPr>
        <w:t>Defeitos identificados na auditoria interna e respectivas correções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3020"/>
        <w:gridCol w:w="3020"/>
        <w:gridCol w:w="3020"/>
      </w:tblGrid>
      <w:tr>
        <w:trPr>
          <w:cantSplit/>
          <w:tblHeader w:val="true"/>
        </w:trPr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Defeito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Efeito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Correção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Comparador MVO idêntico à estratégia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Comparação da estratégia consigo mesma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Implementação independente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Painel de provedor descartava deslistadas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Viés de sobrevivência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Universo reconstruído do arquivo da B3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 de deslistagem descartado inteiro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Perda truncava o ano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Liquidação da posição em CDI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Imposto ausente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Retorno superestimado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Modelo tributário brasileiro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Custo fixo ignorando liquidez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Ordem grande sem penalidade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Deslizamento por participação no volume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Rebalanceamento diário implícito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Artefato de vetorização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Trajetória de compra e manutenção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Filtro de sessões usando pico global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Anos legítimos descartados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Pico móvel local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Depois da última correção, o retorno anualizado publicado caiu e a queda máxima subiu de 30,4% para 47,8%. A mudança evidencia o funcionamento do controle, que foi capaz de piorar o resultado quando os dados o exigiram, mas não prova que todos os defeitos foram encontrados.</w:t>
      </w:r>
    </w:p>
    <w:p>
      <w:pPr>
        <w:pStyle w:val="Heading1"/>
      </w:pPr>
      <w:r>
        <w:t>6. APLICABILIDADE, IMPLANTAÇÃO E MODELO DE USO</w:t>
      </w:r>
    </w:p>
    <w:p>
      <w:pPr>
        <w:pStyle w:val="Heading2"/>
      </w:pPr>
      <w:r>
        <w:t>6.1 PÚBLICO E PROPOSTA DE VALOR</w:t>
      </w:r>
    </w:p>
    <w:p>
      <w:pPr>
        <w:pStyle w:val="Normal"/>
      </w:pPr>
      <w:r>
        <w:t>O produto foi concebido para quem decide a própria carteira. A política aplicada, os dados e seus hashes, a elegibilidade, os pesos, as ordens, o custo estimado e a aprovação permanecem ligados à mesma decisão, o que reduz o tempo de reconstrução e mostra por que um papel entrou e outro não.</w:t>
      </w:r>
    </w:p>
    <w:p>
      <w:pPr>
        <w:pStyle w:val="Heading2"/>
      </w:pPr>
      <w:r>
        <w:t>6.2 FLUXO OPERACIONAL</w:t>
      </w:r>
    </w:p>
    <w:p>
      <w:pPr>
        <w:pStyle w:val="Normal"/>
      </w:pPr>
      <w:r>
        <w:t>O uso começa pelo enquadramento em um dos quatro perfis. Quem decide vê quais arquivos estavam disponíveis e quais passaram na validação; a triagem mostra aprovados e reprovados com o motivo; a carteira candidata apresenta pesos, parcela defensiva, custo e comparação com CDI, Ibovespa e MVO. Em seguida revisa a tese, registra riscos, aprova ou rejeita e justifica; o dossiê reúne esse percurso com a versão da regra.</w:t>
      </w:r>
    </w:p>
    <w:p>
      <w:pPr>
        <w:pStyle w:val="Heading2"/>
      </w:pPr>
      <w:r>
        <w:t>6.3 IMPLANTAÇÃO E PILOTO COMERCIAL</w:t>
      </w:r>
    </w:p>
    <w:p>
      <w:pPr>
        <w:pStyle w:val="Normal"/>
      </w:pPr>
      <w:r>
        <w:t>No piloto o sistema acompanha poucas carteiras sem enviar ordens, e os dossiês são confrontados com o que o usuário faria sem ele; a conciliação de custos e posições fecha o ciclo. O piloto medirá tempo, completude da evidência, revisões, divergência de custos e disposição a pagar; é lá que a intensidade do problema se mede. O produto permanece em protótipo, com hashes versionados e data carimbada por terceiro.</w:t>
      </w:r>
    </w:p>
    <w:p>
      <w:pPr>
        <w:pStyle w:val="Heading2"/>
      </w:pPr>
      <w:r>
        <w:t>6.4 MATRIZ DE EVIDÊNCIAS</w:t>
      </w:r>
    </w:p>
    <w:p>
      <w:pPr>
        <w:pStyle w:val="Normal"/>
      </w:pPr>
      <w:r>
        <w:t>A Tabela 10 delimita o que pode ser afirmado na submissão.</w:t>
      </w:r>
    </w:p>
    <w:p>
      <w:pPr>
        <w:keepNext/>
        <w:spacing w:after="0"/>
      </w:pPr>
      <w:r>
        <w:rPr>
          <w:b/>
        </w:rPr>
        <w:t>Tabela 10</w:t>
      </w:r>
    </w:p>
    <w:p>
      <w:pPr>
        <w:keepNext/>
        <w:spacing w:after="80"/>
      </w:pPr>
      <w:r>
        <w:rPr>
          <w:i/>
        </w:rPr>
        <w:t>Matriz de afirmações, evidências e situação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3143"/>
        <w:gridCol w:w="3143"/>
        <w:gridCol w:w="2774"/>
      </w:tblGrid>
      <w:tr>
        <w:trPr>
          <w:cantSplit/>
          <w:tblHeader w:val="true"/>
        </w:trPr>
        <w:tc>
          <w:tcPr>
            <w:tcW w:type="dxa" w:w="314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Afirmação</w:t>
            </w:r>
          </w:p>
        </w:tc>
        <w:tc>
          <w:tcPr>
            <w:tcW w:type="dxa" w:w="314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Evidência disponível</w:t>
            </w:r>
          </w:p>
        </w:tc>
        <w:tc>
          <w:tcPr>
            <w:tcW w:type="dxa" w:w="2774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 artefato preserva dados, regra, pesos e aprovação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Testes funcionais, hashes e dossiês reproduzíveis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Demonstrada no protótipo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auditoria encontra erros que alteram métricas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Sete defeitos reproduzidos e corrigidos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Demonstrada no desenvolvimento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regra superou comparadores entre 2015 e 2025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Diagnóstico sequencial e reamostragem interna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Observada, não prospectiva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série histórica tem qualidade institucional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13,9% da exposição a ações dependeu de imputação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 modelo de linguagem gera retorno adicional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Diferença de −0,05 p.p. e p = 0,989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Há demanda e disposição a pagar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Piloto ainda não executado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regra funciona em dados futuros</w:t>
            </w:r>
          </w:p>
        </w:tc>
        <w:tc>
          <w:tcPr>
            <w:tcW w:type="dxa" w:w="314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Registros congelados de 2026; amostra confirmatória a partir de 2027</w:t>
            </w:r>
          </w:p>
        </w:tc>
        <w:tc>
          <w:tcPr>
            <w:tcW w:type="dxa" w:w="2774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Em acompanhamento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A matriz converge com a literatura: ausência de alfa do modelo (Perlin et al., 2025; Li et al., 2026), valor narrativo sem autorização de pesos (Kim et al., 2024) e exigência prospectiva (Pelster &amp; Val, 2024).</w:t>
      </w:r>
    </w:p>
    <w:p>
      <w:pPr>
        <w:pStyle w:val="Heading1"/>
      </w:pPr>
      <w:r>
        <w:t>7. LIMITAÇÕES E RECOMENDAÇÕES</w:t>
      </w:r>
    </w:p>
    <w:p>
      <w:pPr>
        <w:pStyle w:val="Heading2"/>
      </w:pPr>
      <w:r>
        <w:t>7.1 LIMITAÇÕES</w:t>
      </w:r>
    </w:p>
    <w:p>
      <w:pPr>
        <w:pStyle w:val="Normal"/>
      </w:pPr>
      <w:r>
        <w:t>A primeira limitação é temporal: onze decisões anuais são poucas, e a janela também serviu ao desenvolvimento. O prêmio de retrospectiva e o Sharpe deflacionado tratam parte do risco de múltiplas tentativas, mas não equivalem a validação prospectiva.</w:t>
      </w:r>
    </w:p>
    <w:p>
      <w:pPr>
        <w:pStyle w:val="Normal"/>
      </w:pPr>
      <w:r>
        <w:t>A segunda limitação está nos dados. A página atual da B3 respondeu para 95,6% das séries consultadas, percentual que mede resposta do serviço, não completude histórica; a reconstrução das posições mantidas encontrou sete diferenças materiais em 54 comparações e duas observações sem resposta. Papéis sem cobertura completa recebem distribuição imputada pela mediana transversal do ano; a Seção 5.2 mede o alcance e o efeito disso. O arquivo novo melhora a auditabilidade porque permite reprovar a própria reconciliação; não transforma a curva em evidência institucional.</w:t>
      </w:r>
    </w:p>
    <w:p>
      <w:pPr>
        <w:pStyle w:val="Normal"/>
      </w:pPr>
      <w:r>
        <w:t>A terceira é econômica. Na série de desenvolvimento a queda máxima chegou a 47,8%, pior que os 47,0% do Ibovespa; a camada reduziu essa marca para 28,7%, mas foi concebida depois da Covid-19 (Seção 5.5); o imposto de renda variável é apurado por ativo e custo médio, e resta conciliar com notas de corretagem. A política limita a exposição por perfil, com quedas máximas retrospectivas entre 9,2% e 28,9%, mas seus parâmetros também foram definidos com conhecimento da amostra.</w:t>
      </w:r>
    </w:p>
    <w:p>
      <w:pPr>
        <w:pStyle w:val="Normal"/>
      </w:pPr>
      <w:r>
        <w:t>Por fim, o produto não transfere responsabilidade: a decisão, a ordem e o risco continuam de quem usa, e o artefato é ferramenta de apoio, não recomendação individual nem promessa de resultado. Uso comercial exige enquadramento regulatório, suitability, segurança e contrato de fontes. O radar de notícias serve apenas ao alerta humano, sem participar do retorno histórico.</w:t>
      </w:r>
    </w:p>
    <w:p>
      <w:pPr>
        <w:pStyle w:val="Heading2"/>
      </w:pPr>
      <w:r>
        <w:t>7.2 RECOMENDAÇÕES DE PESQUISA E IMPLANTAÇÃO</w:t>
      </w:r>
    </w:p>
    <w:p>
      <w:pPr>
        <w:pStyle w:val="Normal"/>
      </w:pPr>
      <w:r>
        <w:t>O passo científico prioritário é acumular decisões posteriores aos registros congelados. Em paralelo, uma versão institucional precisará de um livro histórico de eventos capaz de cobrir os 22 códigos não devolvidos e de reproduzir as sete diferenças materiais encontradas no escopo da estratégia. Testes seguintes devem acrescentar trajetórias sintéticas com regimes de baixa prolongada, sem substituir a observação futura; um estudo com notícias deve ser registrado como braço separado, com horário verificável. O passo de produto é um piloto silencioso, sem execução automática, que meça tempo, completude documental, divergência de custos, compreensão do usuário e disposição a pagar.</w:t>
      </w:r>
    </w:p>
    <w:p>
      <w:pPr>
        <w:pStyle w:val="Heading1"/>
      </w:pPr>
      <w:r>
        <w:t>8. CONCLUSÃO</w:t>
      </w:r>
    </w:p>
    <w:p>
      <w:pPr>
        <w:pStyle w:val="Normal"/>
      </w:pPr>
      <w:r>
        <w:t>O Benevente foi construído para resolver uma falha operacional específica: carteiras são propostas em um momento e justificadas em outro, enquanto os dados, a regra e a aprovação podem se separar. O protótipo mostrou que é possível produzir a alocação e a evidência da decisão no mesmo fluxo, com fundamentos admitidos pela data de recebimento, regra quantitativa separada da explicação em linguagem natural, custos, imposto e comparadores independentes.</w:t>
      </w:r>
    </w:p>
    <w:p>
      <w:pPr>
        <w:pStyle w:val="Normal"/>
      </w:pPr>
      <w:r>
        <w:t>No diagnóstico 2015–2025, os quatro perfis superaram o CDI em oito de onze anos cada um, com quedas escalonadas conforme o perfil; a incerteza amostral e a imputação parcial impedem tratar isso como superioridade comprovada. Os negativos são parte da contribuição: reselecionar mais vezes não ajudou, o modelo de linguagem não acrescentou retorno, a alocação direta por texto saiu aritmeticamente inconsistente em parte dos anos e a própria busca se degradou ao ser ampliada. O conjunto justifica um sistema em que a regra calcula, a linguagem explica e uma pessoa responde.</w:t>
      </w:r>
    </w:p>
    <w:p>
      <w:pPr>
        <w:pStyle w:val="Normal"/>
      </w:pPr>
      <w:r>
        <w:t>A conclusão sustentada pela evidência é estreita. O artefato cria uma cadeia auditável e a usa para achar erros que alteram o próprio resultado — inclusive recusando um selo que os dados não sustentavam e trocando um caixa que não era comprável — e para medir o limite do próprio procedimento de seleção. A viabilidade comercial depende do piloto da Seção 6.3. A validade financeira exigirá uma base histórica reconciliável e observações posteriores aos registros congelados; a amostra confirmatória da política vigente começa no primeiro pregão de 2027. Até lá, o desempenho histórico permanece diagnóstico de desenvolvimento.</w:t>
      </w:r>
    </w:p>
    <w:p>
      <w:pPr>
        <w:pStyle w:val="Heading1"/>
      </w:pPr>
      <w:r>
        <w:t>9. DISPONIBILIDADE</w:t>
      </w:r>
    </w:p>
    <w:p>
      <w:pPr>
        <w:pStyle w:val="Normal"/>
      </w:pPr>
      <w:r>
        <w:t>Código, testes, manifestos e arquivos de evidência estão em https://github.com/diegogallina1/benevente, com fontes, limitações e comandos de reprodução documentados. A demonstração está em https://benevente-wealth-system.vercel.app/.</w:t>
      </w:r>
    </w:p>
    <w:p>
      <w:pPr>
        <w:pStyle w:val="Heading1"/>
      </w:pPr>
      <w:r>
        <w:t>REFERÊNCIAS</w:t>
      </w:r>
    </w:p>
    <w:p>
      <w:pPr>
        <w:pStyle w:val="Normal"/>
        <w:ind w:left="425" w:hanging="425"/>
        <w:jc w:val="left"/>
      </w:pPr>
      <w:r>
        <w:t xml:space="preserve">Bailey, D. H., Borwein, J. M., López de Prado, M., &amp; Zhu, Q. J. (2017). The probability of backtest overfitting. </w:t>
      </w:r>
      <w:r>
        <w:rPr>
          <w:i/>
        </w:rPr>
        <w:t>Journal of Computational Finance, 20</w:t>
      </w:r>
      <w:r>
        <w:t>(4), 39–69. https://doi.org/10.21314/JCF.2016.322</w:t>
      </w:r>
    </w:p>
    <w:p>
      <w:pPr>
        <w:pStyle w:val="Normal"/>
        <w:ind w:left="425" w:hanging="425"/>
        <w:jc w:val="left"/>
      </w:pPr>
      <w:r>
        <w:t xml:space="preserve">Bailey, D. H., &amp; López de Prado, M. (2014). The deflated Sharpe ratio: Correcting for selection bias, backtest overfitting, and non-normality. </w:t>
      </w:r>
      <w:r>
        <w:rPr>
          <w:i/>
        </w:rPr>
        <w:t>Journal of Portfolio Management, 40</w:t>
      </w:r>
      <w:r>
        <w:t>(5), 94–107. https://doi.org/10.3905/jpm.2014.40.5.094</w:t>
      </w:r>
    </w:p>
    <w:p>
      <w:pPr>
        <w:pStyle w:val="Normal"/>
        <w:ind w:left="425" w:hanging="425"/>
        <w:jc w:val="left"/>
      </w:pPr>
      <w:r>
        <w:t xml:space="preserve">Banco Central do Brasil. (2026). </w:t>
      </w:r>
      <w:r>
        <w:rPr>
          <w:i/>
        </w:rPr>
        <w:t>Sistema Gerenciador de Séries Temporais: série 12, taxa de juros CDI</w:t>
      </w:r>
      <w:r>
        <w:t>. https://www3.bcb.gov.br/sgspub/</w:t>
      </w:r>
    </w:p>
    <w:p>
      <w:pPr>
        <w:pStyle w:val="Normal"/>
        <w:ind w:left="425" w:hanging="425"/>
        <w:jc w:val="left"/>
      </w:pPr>
      <w:r>
        <w:t xml:space="preserve">B3 S.A. – Brasil, Bolsa, Balcão. (2026a). </w:t>
      </w:r>
      <w:r>
        <w:rPr>
          <w:i/>
        </w:rPr>
        <w:t>Cotações históricas: série histórica de preços dos títulos negociados na Bolsa</w:t>
      </w:r>
      <w:r>
        <w:t>. https://www.b3.com.br/pt_br/market-data-e-indices/servicos-de-dados/market-data/historico/mercado-a-vista/cotacoes-historicas/</w:t>
      </w:r>
    </w:p>
    <w:p>
      <w:pPr>
        <w:pStyle w:val="Normal"/>
        <w:ind w:left="425" w:hanging="425"/>
        <w:jc w:val="left"/>
      </w:pPr>
      <w:r>
        <w:t xml:space="preserve">B3 S.A. – Brasil, Bolsa, Balcão. (2026b). </w:t>
      </w:r>
      <w:r>
        <w:rPr>
          <w:i/>
        </w:rPr>
        <w:t>Dividendos e outros eventos corporativos</w:t>
      </w:r>
      <w:r>
        <w:t>. https://sistemaswebb3-listados.b3.com.br/dividensOtherCorpActPage/</w:t>
      </w:r>
    </w:p>
    <w:p>
      <w:pPr>
        <w:pStyle w:val="Normal"/>
        <w:ind w:left="425" w:hanging="425"/>
        <w:jc w:val="left"/>
      </w:pPr>
      <w:r>
        <w:t xml:space="preserve">B3 S.A. – Brasil, Bolsa, Balcão. (2026c). </w:t>
      </w:r>
      <w:r>
        <w:rPr>
          <w:i/>
        </w:rPr>
        <w:t>Ibovespa B3</w:t>
      </w:r>
      <w:r>
        <w:t>. https://www.b3.com.br/pt_br/market-data-e-indices/indices/indices-amplos/ibovespa.htm</w:t>
      </w:r>
    </w:p>
    <w:p>
      <w:pPr>
        <w:pStyle w:val="Normal"/>
        <w:ind w:left="425" w:hanging="425"/>
        <w:jc w:val="left"/>
      </w:pPr>
      <w:r>
        <w:t xml:space="preserve">Benevente. (2026). </w:t>
      </w:r>
      <w:r>
        <w:rPr>
          <w:i/>
        </w:rPr>
        <w:t>Documentação técnica, repositório de dados e validação de horizontes</w:t>
      </w:r>
      <w:r>
        <w:t>. https://github.com/diegogallina1/benevente</w:t>
      </w:r>
    </w:p>
    <w:p>
      <w:pPr>
        <w:pStyle w:val="Normal"/>
        <w:ind w:left="425" w:hanging="425"/>
        <w:jc w:val="left"/>
      </w:pPr>
      <w:r>
        <w:t xml:space="preserve">Black, F., &amp; Litterman, R. (1992). Global portfolio optimization. </w:t>
      </w:r>
      <w:r>
        <w:rPr>
          <w:i/>
        </w:rPr>
        <w:t>Financial Analysts Journal, 48</w:t>
      </w:r>
      <w:r>
        <w:t>(5), 28–43. https://doi.org/10.2469/faj.v48.n5.28</w:t>
      </w:r>
    </w:p>
    <w:p>
      <w:pPr>
        <w:pStyle w:val="Normal"/>
        <w:ind w:left="425" w:hanging="425"/>
        <w:jc w:val="left"/>
      </w:pPr>
      <w:r>
        <w:t xml:space="preserve">Comissão de Valores Mobiliários. (2021a). </w:t>
      </w:r>
      <w:r>
        <w:rPr>
          <w:i/>
        </w:rPr>
        <w:t>Resolução CVM nº 19, de 25 de fevereiro de 2021: atividade de consultoria de valores mobiliários</w:t>
      </w:r>
      <w:r>
        <w:t xml:space="preserve"> (texto consolidado). https://conteudo.cvm.gov.br/legislacao/resolucoes/resol019.html</w:t>
      </w:r>
    </w:p>
    <w:p>
      <w:pPr>
        <w:pStyle w:val="Normal"/>
        <w:ind w:left="425" w:hanging="425"/>
        <w:jc w:val="left"/>
      </w:pPr>
      <w:r>
        <w:t xml:space="preserve">Comissão de Valores Mobiliários. (2021b). </w:t>
      </w:r>
      <w:r>
        <w:rPr>
          <w:i/>
        </w:rPr>
        <w:t>Resolução CVM nº 30, de 11 de maio de 2021: adequação dos produtos, serviços e operações ao perfil do cliente</w:t>
      </w:r>
      <w:r>
        <w:t xml:space="preserve"> (texto consolidado). https://conteudo.cvm.gov.br/legislacao/resolucoes/resol030.html</w:t>
      </w:r>
    </w:p>
    <w:p>
      <w:pPr>
        <w:pStyle w:val="Normal"/>
        <w:ind w:left="425" w:hanging="425"/>
        <w:jc w:val="left"/>
      </w:pPr>
      <w:r>
        <w:t xml:space="preserve">Comissão de Valores Mobiliários. (2026a). </w:t>
      </w:r>
      <w:r>
        <w:rPr>
          <w:i/>
        </w:rPr>
        <w:t>Demonstrações Financeiras Padronizadas (DFP): dados abertos</w:t>
      </w:r>
      <w:r>
        <w:t>. https://dados.cvm.gov.br/dataset/cia_aberta-doc-dfp</w:t>
      </w:r>
    </w:p>
    <w:p>
      <w:pPr>
        <w:pStyle w:val="Normal"/>
        <w:ind w:left="425" w:hanging="425"/>
        <w:jc w:val="left"/>
      </w:pPr>
      <w:r>
        <w:t xml:space="preserve">Comissão de Valores Mobiliários. (2026b). </w:t>
      </w:r>
      <w:r>
        <w:rPr>
          <w:i/>
        </w:rPr>
        <w:t>Formulário de Informações Trimestrais (ITR): dados abertos</w:t>
      </w:r>
      <w:r>
        <w:t>. https://dados.cvm.gov.br/dados/CIA_ABERTA/DOC/ITR/DADOS/</w:t>
      </w:r>
    </w:p>
    <w:p>
      <w:pPr>
        <w:pStyle w:val="Normal"/>
        <w:ind w:left="425" w:hanging="425"/>
        <w:jc w:val="left"/>
      </w:pPr>
      <w:r>
        <w:t xml:space="preserve">DeMiguel, V., Garlappi, L., &amp; Uppal, R. (2009). Optimal versus naive diversification: How inefficient is the 1/N portfolio strategy? </w:t>
      </w:r>
      <w:r>
        <w:rPr>
          <w:i/>
        </w:rPr>
        <w:t>Review of Financial Studies, 22</w:t>
      </w:r>
      <w:r>
        <w:t>(5), 1915–1953. https://doi.org/10.1093/rfs/hhm075</w:t>
      </w:r>
    </w:p>
    <w:p>
      <w:pPr>
        <w:pStyle w:val="Normal"/>
        <w:ind w:left="425" w:hanging="425"/>
        <w:jc w:val="left"/>
      </w:pPr>
      <w:r>
        <w:t xml:space="preserve">Fama, E. F., &amp; French, K. R. (2015). A five-factor asset pricing model. </w:t>
      </w:r>
      <w:r>
        <w:rPr>
          <w:i/>
        </w:rPr>
        <w:t>Journal of Financial Economics, 116</w:t>
      </w:r>
      <w:r>
        <w:t>(1), 1–22. https://doi.org/10.1016/j.jfineco.2014.10.010</w:t>
      </w:r>
    </w:p>
    <w:p>
      <w:pPr>
        <w:pStyle w:val="Normal"/>
        <w:ind w:left="425" w:hanging="425"/>
        <w:jc w:val="left"/>
      </w:pPr>
      <w:r>
        <w:t xml:space="preserve">Hevner, A. R., March, S. T., Park, J., &amp; Ram, S. (2004). Design science in information systems research. </w:t>
      </w:r>
      <w:r>
        <w:rPr>
          <w:i/>
        </w:rPr>
        <w:t>MIS Quarterly, 28</w:t>
      </w:r>
      <w:r>
        <w:t>(1), 75–105. https://doi.org/10.2307/25148625</w:t>
      </w:r>
    </w:p>
    <w:p>
      <w:pPr>
        <w:pStyle w:val="Normal"/>
        <w:ind w:left="425" w:hanging="425"/>
        <w:jc w:val="left"/>
      </w:pPr>
      <w:r>
        <w:t xml:space="preserve">Kim, A. G. H., Muhn, M., &amp; Nikolaev, V. V. (2024). </w:t>
      </w:r>
      <w:r>
        <w:rPr>
          <w:i/>
        </w:rPr>
        <w:t>Financial statement analysis with large language models</w:t>
      </w:r>
      <w:r>
        <w:t xml:space="preserve"> [Working paper]. arXiv. https://arxiv.org/abs/2407.17866</w:t>
      </w:r>
    </w:p>
    <w:p>
      <w:pPr>
        <w:pStyle w:val="Normal"/>
        <w:ind w:left="425" w:hanging="425"/>
        <w:jc w:val="left"/>
      </w:pPr>
      <w:r>
        <w:t xml:space="preserve">Kroll, J. A., Huey, J., Barocas, S., Felten, E. W., Reidenberg, J. R., Robinson, D. G., &amp; Yu, H. (2017). Accountable algorithms. </w:t>
      </w:r>
      <w:r>
        <w:rPr>
          <w:i/>
        </w:rPr>
        <w:t>University of Pennsylvania Law Review, 165</w:t>
      </w:r>
      <w:r>
        <w:t>(3), 633–705.</w:t>
      </w:r>
    </w:p>
    <w:p>
      <w:pPr>
        <w:pStyle w:val="Normal"/>
        <w:ind w:left="425" w:hanging="425"/>
        <w:jc w:val="left"/>
      </w:pPr>
      <w:r>
        <w:t xml:space="preserve">Li, Y., Kim, K., Cucuringu, M., &amp; Ma, S. (2026). Can LLM-based financial investing strategies outperform the market in long run? In </w:t>
      </w:r>
      <w:r>
        <w:rPr>
          <w:i/>
        </w:rPr>
        <w:t>Proceedings of the 32nd ACM SIGKDD Conference on Knowledge Discovery and Data Mining</w:t>
      </w:r>
      <w:r>
        <w:t xml:space="preserve"> (pp. 2711–2722). https://doi.org/10.1145/3770854.3785702</w:t>
      </w:r>
    </w:p>
    <w:p>
      <w:pPr>
        <w:pStyle w:val="Normal"/>
        <w:ind w:left="425" w:hanging="425"/>
        <w:jc w:val="left"/>
      </w:pPr>
      <w:r>
        <w:t xml:space="preserve">López de Prado, M. (2018). </w:t>
      </w:r>
      <w:r>
        <w:rPr>
          <w:i/>
        </w:rPr>
        <w:t>Advances in financial machine learning</w:t>
      </w:r>
      <w:r>
        <w:t>. Wiley.</w:t>
      </w:r>
    </w:p>
    <w:p>
      <w:pPr>
        <w:pStyle w:val="Normal"/>
        <w:ind w:left="425" w:hanging="425"/>
        <w:jc w:val="left"/>
      </w:pPr>
      <w:r>
        <w:t xml:space="preserve">Markowitz, H. (1952). Portfolio selection. </w:t>
      </w:r>
      <w:r>
        <w:rPr>
          <w:i/>
        </w:rPr>
        <w:t>Journal of Finance, 7</w:t>
      </w:r>
      <w:r>
        <w:t>(1), 77–91. https://doi.org/10.2307/2975974</w:t>
      </w:r>
    </w:p>
    <w:p>
      <w:pPr>
        <w:pStyle w:val="Normal"/>
        <w:ind w:left="425" w:hanging="425"/>
        <w:jc w:val="left"/>
      </w:pPr>
      <w:r>
        <w:t xml:space="preserve">Novy-Marx, R. (2013). The other side of value: The gross profitability premium. </w:t>
      </w:r>
      <w:r>
        <w:rPr>
          <w:i/>
        </w:rPr>
        <w:t>Journal of Financial Economics, 108</w:t>
      </w:r>
      <w:r>
        <w:t>(1), 1–28. https://doi.org/10.1016/j.jfineco.2013.01.003</w:t>
      </w:r>
    </w:p>
    <w:p>
      <w:pPr>
        <w:pStyle w:val="Normal"/>
        <w:ind w:left="425" w:hanging="425"/>
        <w:jc w:val="left"/>
      </w:pPr>
      <w:r>
        <w:t xml:space="preserve">Novy-Marx, R., &amp; Velikov, M. (2016). A taxonomy of anomalies and their trading costs. </w:t>
      </w:r>
      <w:r>
        <w:rPr>
          <w:i/>
        </w:rPr>
        <w:t>Review of Financial Studies, 29</w:t>
      </w:r>
      <w:r>
        <w:t>(1), 104–147. https://doi.org/10.1093/rfs/hhv063</w:t>
      </w:r>
    </w:p>
    <w:p>
      <w:pPr>
        <w:pStyle w:val="Normal"/>
        <w:ind w:left="425" w:hanging="425"/>
        <w:jc w:val="left"/>
      </w:pPr>
      <w:r>
        <w:t xml:space="preserve">Peffers, K., Tuunanen, T., Rothenberger, M. A., &amp; Chatterjee, S. (2007). A design science research methodology for information systems research. </w:t>
      </w:r>
      <w:r>
        <w:rPr>
          <w:i/>
        </w:rPr>
        <w:t>Journal of Management Information Systems, 24</w:t>
      </w:r>
      <w:r>
        <w:t>(3), 45–77. https://doi.org/10.2753/MIS0742-1222240302</w:t>
      </w:r>
    </w:p>
    <w:p>
      <w:pPr>
        <w:pStyle w:val="Normal"/>
        <w:ind w:left="425" w:hanging="425"/>
        <w:jc w:val="left"/>
      </w:pPr>
      <w:r>
        <w:t xml:space="preserve">Pelster, M., &amp; Val, J. (2024). Can ChatGPT assist in picking stocks? </w:t>
      </w:r>
      <w:r>
        <w:rPr>
          <w:i/>
        </w:rPr>
        <w:t>Finance Research Letters, 59</w:t>
      </w:r>
      <w:r>
        <w:t>, 104786. https://doi.org/10.1016/j.frl.2023.104786</w:t>
      </w:r>
    </w:p>
    <w:p>
      <w:pPr>
        <w:pStyle w:val="Normal"/>
        <w:ind w:left="425" w:hanging="425"/>
        <w:jc w:val="left"/>
      </w:pPr>
      <w:r>
        <w:t xml:space="preserve">Perlin, M. S., Foguesatto, C. R., Müller, F. M., &amp; Righi, M. B. (2025). Can AI beat a naive portfolio? An experiment with anonymized data. </w:t>
      </w:r>
      <w:r>
        <w:rPr>
          <w:i/>
        </w:rPr>
        <w:t>Finance Research Letters</w:t>
      </w:r>
      <w:r>
        <w:t>, 107126. https://doi.org/10.1016/j.frl.2025.107126</w:t>
      </w:r>
    </w:p>
    <w:p>
      <w:pPr>
        <w:pStyle w:val="Normal"/>
        <w:ind w:left="425" w:hanging="425"/>
        <w:jc w:val="left"/>
      </w:pPr>
      <w:r>
        <w:t xml:space="preserve">Yu, Y., Yao, H., Jiang, H., Lu, Y., Cao, Y., Yan, D., &amp; Zhuang, F. (2024). FinCon: A synthesized LLM multi-agent system with conceptual verbal reinforcement for enhanced financial decision making. In </w:t>
      </w:r>
      <w:r>
        <w:rPr>
          <w:i/>
        </w:rPr>
        <w:t>Advances in Neural Information Processing Systems 37</w:t>
      </w:r>
      <w:r>
        <w:t>. https://doi.org/10.52202/079017-4354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0" w:top="3119" w:footer="709" w:bottom="2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8"/>
        <w:tab w:val="left" w:pos="5685" w:leader="none"/>
        <w:tab w:val="right" w:pos="9070" w:leader="none"/>
      </w:tabs>
      <w:rPr/>
    </w:pPr>
    <w:r>
      <w:drawing>
        <wp:anchor behindDoc="1" distT="0" distB="0" distL="114935" distR="114935" simplePos="0" locked="0" layoutInCell="1" allowOverlap="1" relativeHeight="7">
          <wp:simplePos x="0" y="0"/>
          <wp:positionH relativeFrom="column">
            <wp:posOffset>2168525</wp:posOffset>
          </wp:positionH>
          <wp:positionV relativeFrom="paragraph">
            <wp:posOffset>-638175</wp:posOffset>
          </wp:positionV>
          <wp:extent cx="1558925" cy="1131570"/>
          <wp:effectExtent l="0" t="0" r="0" b="0"/>
          <wp:wrapNone/>
          <wp:docPr id="2" name="Image1" descr="Logotipo da Fucape Business School" title="Logotipo da Fucape Business Scho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1175" t="-33" r="48994" b="-33"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1131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b/>
        <w:sz w:val="16"/>
      </w:rPr>
      <w:tab/>
      <w:tab/>
      <w:tab/>
      <w:tab/>
    </w:r>
    <w:r>
      <w:rPr>
        <w:rFonts w:cs="Arial" w:ascii="Arial" w:hAnsi="Arial"/>
        <w:b/>
        <w:sz w:val="16"/>
      </w:rPr>
      <w:fldChar w:fldCharType="begin"/>
    </w:r>
    <w:r>
      <w:rPr>
        <w:sz w:val="16"/>
        <w:b/>
        <w:rFonts w:cs="Arial" w:ascii="Arial" w:hAnsi="Arial"/>
      </w:rPr>
      <w:instrText xml:space="preserve"> PAGE </w:instrText>
    </w:r>
    <w:r>
      <w:rPr>
        <w:sz w:val="16"/>
        <w:b/>
        <w:rFonts w:cs="Arial" w:ascii="Arial" w:hAnsi="Arial"/>
      </w:rPr>
      <w:fldChar w:fldCharType="separate"/>
    </w:r>
    <w:r>
      <w:rPr>
        <w:sz w:val="16"/>
        <w:b/>
        <w:rFonts w:cs="Arial" w:ascii="Arial" w:hAnsi="Arial"/>
      </w:rPr>
      <w:t>3</w:t>
    </w:r>
    <w:r>
      <w:rPr>
        <w:sz w:val="16"/>
        <w:b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1560" w:end="0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margin">
            <wp:align>center</wp:align>
          </wp:positionH>
          <wp:positionV relativeFrom="paragraph">
            <wp:posOffset>635</wp:posOffset>
          </wp:positionV>
          <wp:extent cx="7750810" cy="923925"/>
          <wp:effectExtent l="0" t="0" r="0" b="0"/>
          <wp:wrapNone/>
          <wp:docPr id="1" name="Imagem 2" descr="Identidade visual do Business Tech Congress 2026" title="Identidade visual do Business Tech Congress 2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40" r="-5" b="-40"/>
                  <a:stretch>
                    <a:fillRect/>
                  </a:stretch>
                </pic:blipFill>
                <pic:spPr bwMode="auto">
                  <a:xfrm>
                    <a:off x="0" y="0"/>
                    <a:ext cx="7750810" cy="923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abstractNum w:abstractNumId="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3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4">
    <w:abstractNumId w:val="4"/>
  </w:num>
  <w:abstractNum w:abstractNumId="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000000"/>
      <w:sz w:val="24"/>
      <w:szCs w:val="22"/>
      <w:lang w:val="pt-BR" w:bidi="ar-SA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Articletitle">
    <w:name w:val="Article title"/>
    <w:basedOn w:val="Normal"/>
    <w:next w:val="Normal"/>
    <w:qFormat/>
    <w:pPr>
      <w:spacing w:lineRule="auto" w:line="360" w:before="0" w:after="120"/>
    </w:pPr>
    <w:rPr>
      <w:rFonts w:ascii="Times New Roman" w:hAnsi="Times New Roman" w:eastAsia="Times New Roman" w:cs="Times New Roman"/>
      <w:b/>
      <w:sz w:val="28"/>
      <w:szCs w:val="24"/>
      <w:lang w:val="en-GB"/>
    </w:rPr>
  </w:style>
  <w:style w:type="paragraph" w:styleId="Authornames">
    <w:name w:val="Author names"/>
    <w:basedOn w:val="Normal"/>
    <w:next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 w:val="28"/>
      <w:szCs w:val="24"/>
      <w:lang w:val="en-GB"/>
    </w:rPr>
  </w:style>
  <w:style w:type="paragraph" w:styleId="Affiliation">
    <w:name w:val="Affiliation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i/>
      <w:sz w:val="24"/>
      <w:szCs w:val="24"/>
      <w:lang w:val="en-GB"/>
    </w:rPr>
  </w:style>
  <w:style w:type="paragraph" w:styleId="Correspondencedetails">
    <w:name w:val="Correspondence details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Notesoncontributors">
    <w:name w:val="Notes on contributors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Cs w:val="24"/>
      <w:lang w:val="en-GB"/>
    </w:rPr>
  </w:style>
  <w:style w:type="numbering" w:styleId="WW8Num1">
    <w:name w:val="WW8Num1"/>
    <w:qFormat/>
  </w:style>
  <w:style w:type="paragraph" w:customStyle="1" w:styleId="Heading1">
    <w:name w:val="heading 1"/>
    <w:pPr>
      <w:keepNext/>
      <w:spacing w:before="180" w:after="0"/>
      <w:ind w:firstLine="0"/>
      <w:jc w:val="left"/>
    </w:pPr>
    <w:rPr>
      <w:rFonts w:ascii="Times New Roman" w:hAnsi="Times New Roman"/>
      <w:b/>
      <w:color w:val="000000"/>
      <w:sz w:val="24"/>
    </w:rPr>
  </w:style>
  <w:style w:type="paragraph" w:customStyle="1" w:styleId="Heading2">
    <w:name w:val="heading 2"/>
    <w:pPr>
      <w:keepNext/>
      <w:spacing w:before="180" w:after="0"/>
      <w:ind w:firstLine="0"/>
      <w:jc w:val="left"/>
    </w:pPr>
    <w:rPr>
      <w:rFonts w:ascii="Times New Roman" w:hAnsi="Times New Roman"/>
      <w:b w:val="0"/>
      <w:color w:val="000000"/>
      <w:sz w:val="24"/>
    </w:rPr>
  </w:style>
  <w:style w:type="paragraph" w:customStyle="1" w:styleId="Heading3">
    <w:name w:val="heading 3"/>
    <w:pPr>
      <w:keepNext/>
      <w:spacing w:before="180" w:after="0"/>
      <w:ind w:firstLine="0"/>
      <w:jc w:val="left"/>
    </w:pPr>
    <w:rPr>
      <w:rFonts w:ascii="Times New Roman" w:hAnsi="Times New Roman"/>
      <w:b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2025-04-24T20:59:00Z</ns1:created>
  <dc:creator>Diego Gallina</dc:creator>
  <dc:description/>
  <ns0:keywords>B-Tech Congress</ns0:keywords>
  <dc:language>pt-BR</dc:language>
  <ns0:lastModifiedBy>Diego Gallina</ns0:lastModifiedBy>
  <ns0:lastPrinted>2023-10-30T16:07:00Z</ns0:lastPrinted>
  <ns1:modified xsi:type="dcterms:W3CDTF">2026-07-17T19:38:00Z</ns1:modified>
  <ns0:revision>4</ns0:revision>
  <dc:subject>Manuscrito tecnológico BTech 2026</dc:subject>
  <dc:title>Benevente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0x01010094CE45E10688534BB1C51E13BE7FBA2E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