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vigente declara três perfis de investidor, do 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A auditoria também dimensionou a dependência de proventos imputados, correspondente a 13,9% da exposição acumulada a ações, recusou o selo de reconciliação externa após comparar 54 de 56 observações ativo-ano com a fonte primária, e manteve os intervalos de 95% do excesso de retorno cruzando zero contra CDI e Ibovespa. Os retornos históricos são, portanto, diagnóstico de desenvolvimento, e não validação comercial. O modelo de linguagem não demonstrou ganho de retorno e permanece restrito à explicação. A contribuição é um fluxo verificável que separa dado, cálculo, linguagem e responsabilidade.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recomendação é produzida hoje e defendida anos depois; sem preservar dado admitido, versão da regra e aprovação, a justificativa posterior incorpora informação que não existia. O Benevente produz proposta e registro verificável no mesmo fluxo. Intensidade do problema e disposição a pagar ainda dependem de piloto; o artigo não presume impacto regional nem demanda.</w:t>
      </w:r>
    </w:p>
    <w:p>
      <w:pPr>
        <w:pStyle w:val="Normal"/>
      </w:pPr>
      <w:r>
        <w:t>Quando um cliente pergunta por que uma ação entrou na carteira anos antes, o escritório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2023, e sem controle de data de recebimento a justificativa fica contaminada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então vigentes, e não a regra usada hoje.</w:t>
      </w:r>
    </w:p>
    <w:p>
      <w:pPr>
        <w:pStyle w:val="Normal"/>
        <w:ind w:firstLine="0"/>
        <w:numPr>
          <w:ilvl w:val="0"/>
          <w:numId w:val="3"/>
        </w:numPr>
      </w:pPr>
      <w:r>
        <w:t>Quem aprovou, porque uma decisão sem responsável identificado não é auditável e a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B2B que transforme cada recomendação em documento verificável. O método segue design science: identificar o problema, explicitar requisitos, construir e avaliar o artefato por utilidade, qualidade e evidência (Hevner et al., 2004; Peffers et al., 2007). A avaliação combina testes, inspeção das fontes, busca deliberada de erros e diagnóstico financeiro histórico. A contribuição reúne um protocolo quantitativo reexecutável e um fluxo que preserva quem decidiu, com qual informação e política. O retorno passado mede o comportamento do protótipo, não sua utilidade principal nem o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são escritórios de investimento, consultorias de valores mobiliários e gestão patrimonial que precisam recomendar, revisar e defender carteiras: preservar o contexto da decisão, demonstrar por que cada ativo entrou ou não, e comparar com alternativas reconhecíveis pelo cliente. O piloto comercial proposto, descrito na Seção 6.3, medirá o problema e a utilidade do artefato, sem presumir efeito sobre a economia local.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uma simulação da experiência de cada cliente, cuja carteira implementável depende de suitability, liquidez, tributação e restrições contratuais.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 usados neste texto. Benevente designa o produto. O módulo de seleção anual e a camada de proteção intranual, registrados como Benevente 1 e Benevente 2, são os dois mecanismos que a política vigente declara por perfil de investidor, conforme a Seção 3.4. Benevente Quant AI designa a pesquisa acadêmica, inclusive o experimento que combina um modelo de linguagem com um otimizador convexo. A carteira histórica publicada é produzida pela regra multifatorial determinística. O modelo de linguagem não seleciona ativos nem define pesos; seu papel é transformar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TRÊS PERFIS DECLARADOS</w:t>
      </w:r>
    </w:p>
    <w:p>
      <w:pPr>
        <w:pStyle w:val="Normal"/>
      </w:pPr>
      <w:r>
        <w:t>Desde 25 de agosto de 2026 o sistema opera sob uma política declarada, registrada como benevente_profile_ladder_v2. Em lugar de buscar a melhor configuração a cada ano, a política fixa três configurações, uma por perfil de investidor, congeladas antes do período de avaliação prospectiva. O perfil conservador aloca 35% do patrimônio em renda variável, distribuída entre doze emissores; o equilibrado, 55% entre oito; o arrojado, 75% entre cinco. Em todos os perfis, um quinto do orçamento de renda variável é mantido em um fundo negociado na B3 que replica o S&amp;P 500 em reais (IVVB11), definido pela política e não pelo escore; o saldo permanece no CDI. A camada de proteção intranual atua somente sobre a parcela doméstica, porque o sinal de estresse é calculado sobre o Ibovespa. O registro contém os hashes dos insumos, o assinante responsável, o critério de falseamento e o início da amostra confirmatória, o primeiro pregão de 2027; nenhum parâmetro pode ser alterado depois do congelamento sem constituir nova versão e nova contagem. A Seção 4.1.1 documenta o experimento que motivou a declaração; a Seção 5.1 apresenta o diagnóstico dos três perfis.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são divulgados em ciclos contábeis e a tese precisa de tempo para aparecer no preço; troca mensal vende a empresa antes do reconhecimento e multiplica decisões a justificar. A revisão em janeiro cria uma fronteira simples — o publicado até a data entra, o resto pertence ao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O sistema modela três parcelas de custo, deduzidas do retorno bruto.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  <w:ind w:firstLine="0"/>
        <w:numPr>
          <w:ilvl w:val="0"/>
          <w:numId w:val="1"/>
        </w:numPr>
      </w:pPr>
      <w:r>
        <w:t>Imposto de renda brasileiro,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idênticos, condição verificada pela reprodução das 36 configurações compartilhadas com diferença máxima de 5,6×10⁻¹⁷, a mesma seleção aninhada aplicada a uma grade de 256 candidatos rendeu 12,68% ao ano, contra 15,31% da grade de 36, uma perda de 2,63 pontos percentuais ao ano. O índice de Sharpe deflacionado caiu de 0,957 para 0,777, abaixo do limiar de significância, porque o máximo esperado sob a hipótese nula subiu de 0,375 para 0,746 com o aumento do número de tentativas. Em 2018, o seletor ampliado dedicou o ano inteiro a uma configuração que rendeu −7,2% em um ano em que o CDI rendeu 6,4%. O resultado indica que a seleção aninhada possui um limite de capacidade: dez observações anuais não são suficientes para ordenar 256 candidatos, e ultrapassar esse limite degrada a proteção que o procedimento oferece sem produzir sinal visível de alerta.</w:t>
      </w:r>
    </w:p>
    <w:p>
      <w:pPr>
        <w:pStyle w:val="Normal"/>
      </w:pPr>
      <w:r>
        <w:t>A consequência de projeto foi a política declarada da Seção 3.4, congelada no registro benevente_profile_ladder_v2 (SHA-256 iniciado em fc5521f1), com assinante identificado, critério de falseamento e amostra confirmatória a partir de 2027. O experimento completo, com os controles e os resultados negativos auxiliares, está documentado em manuscrito próprio (declared_over_searched_2026), e cada número publicado é conferido por rotina automática contra os artefatos versionados. A mesma auditoria corrigiu a referência do Ibovespa, que passou a ser lida da série datada de origem, com retorno de 11,74% ao ano e queda máxima de 46,8%, depois de constatada deriva na curva rebaseada produzida pelo motor de cálculo.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de forma independente.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ou seja, a estratégia estava sendo comparada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Como uma série problemática pode nunca entrar na carteira, a auditoria cruzou, por ano, a política escolhida, os pesos e o tipo de reconstrução de cada série, e mede a parcela da exposição acumulada a ações que dependeu de provento imputado. Dois testes de sensibilidade complementam a inspeção: a reamostragem conjunta dos vetores anuais de estratégia e comparadores, com 100 mil amostras e semente registrada, que mede estabilidade interna sem criar crises novas; e perdas hipotéticas de 10, 25, 50 e 100 pontos percentuais aplicadas somente à parcela investida em séries imputadas, que mostram quanto o resultado depende dessa hipótese.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Três registros delimitam a linhagem do sistema. O módulo de seleção anual (Benevente 1) foi registrado em 16 de agosto de 2026, com hash e data no repositório; a camada de proteção (Benevente 2) e o protocolo de acompanhamento receberam registros próprios depois das respectivas mudanças; a política por perfil foi registrada em 25 de agosto de 2026 e é a única que governa decisões futuras. Extensões não herdam a data dos registros anteriores. Para sustentar uma conclusão prospectiva, cada perfil precisa superar CDI e Ibovespa após custos e tributos aplicáveis, respeitar o critério de falseamento do próprio registro e acumular pelo menos três decisões anuais completas posteriores ao congelamento; a amostra confirmatória começa no primeiro pregão de 2027. Não existe resultado prospectivo na data deste artigo: a carteira formada em janeiro de 2026 antecede os registros e é tratada como carteira-sombra. Uma regra não pode ser alterada depois de observado um resultado desfavorável sem que a mudança constitua nova versão e nova contagem.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justificativa. Os testes de integridade recusaram arquivo alterado, peso que não soma 100%, ordem acima do limite de liquidez e fundamento recebido após a data da decisão. A auditoria adversarial, descrita na Seção 5.7, encontrou sete defeitos no próprio processo, e as correções alteraram as métricas publicadas.</w:t>
      </w:r>
    </w:p>
    <w:p>
      <w:pPr>
        <w:pStyle w:val="Normal"/>
      </w:pPr>
      <w:r>
        <w:t>A Tabela 2 apresenta o diagnóstico retrospectivo da política vigente: os três perfis, recalculados sobre 2015–2025 com custos modelados e com a camada de proteção aplicada à parcela doméstica. Os valores descrevem o comportamento da política na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072"/>
        <w:gridCol w:w="1364"/>
        <w:gridCol w:w="900"/>
        <w:gridCol w:w="1754"/>
        <w:gridCol w:w="1169"/>
        <w:gridCol w:w="1169"/>
        <w:gridCol w:w="1632"/>
      </w:tblGrid>
      <w:tr>
        <w:trPr>
          <w:cantSplit/>
          <w:tblHeader w:val="true"/>
        </w:trPr>
        <w:tc>
          <w:tcPr>
            <w:tcW w:type="dxa" w:w="10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3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75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63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19,87%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−28,94%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3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0,25%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3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perfis preservam a ordenação declarada de risco: retorno e queda máxima crescem juntos do conservador ao arrojado, e nenhum perfil se aproximou da queda máxima do Ibovespa.</w:t>
      </w:r>
    </w:p>
    <w:p>
      <w:pPr>
        <w:pStyle w:val="Normal"/>
      </w:pPr>
      <w:r>
        <w:t>As análises das Seções 5.2 a 5.4 — dependência de imputação, reamostragem pareada e correção por múltiplas tentativas — foram conduzidas sobre a série de desenvolvimento do módulo de seleção, que acumula o histórico de auditoria mais longo do projeto. A Tabela 3 apresenta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Sob as hipóteses do diagnóstico, R$ 100 mil teriam terminado em R$ 609.832 na série do módulo de seleção, R$ 643.774 com a camada de proteção antes do imposto incremental,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anos e 2 de 2 de dez anos; contra a otimização de referência, vence todas. Essas contagens não são observações independentes, porque as janelas se sobrepõem: descrevem a amostra sem aumentar seu tamanho.</w:t>
      </w:r>
    </w:p>
    <w:p>
      <w:pPr>
        <w:pStyle w:val="Normal"/>
      </w:pPr>
      <w:r>
        <w:t>O retorno da série de desenvolvimento veio acompanhado de risco elevado. A queda máxima diária chegou a 47,8%, próxima à do Ibovespa, de 47,0%, porque entre 2018 e 2021 a política então selecionada manteve 95% em ações concentradas em cinco ou seis emissores. A camada de proteção preservou os mesmos ativos e reduziu a exposição somente depois de estresse observado, levando a queda máxima retrospectiva a 28,7%; a maior perda ocorreu na crise da Covid-19. Esse episódio ilustra por que a política vigente limita o orçamento de renda variável por perfil em vez de operar com um único orçamento elevado: a amostra não permite afirmar proteção futura, mas a ordenação de risco da Tabela 2 é uma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Aplicar uma perda adicional de 10 pontos percentuais apenas à parcela imputada reduz o retorno anualizado de 17,86% para 16,78%; com 25 pontos, para 15,11%; com 50, para 12,16%; com 100, para 5,41%. A carteira deixa de superar o Ibovespa quando a penalização chega a cerca de 53 pontos percentuais, e o CDI, perto de 70. O teste mostra margem econômica, mas não repara o dado: como metade da carteira de 2020 dependeu de séries imputadas, o retorno histórico permanece diagnóstico até a reconciliação em fonte primária.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a passagem de 36 para 256 candidatos custou 2,63 pontos percentuais ao ano e a significância estatística do resultado.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Covid-19. A camada de proteção reduz a exposição após estresse de queda e volatilidade do Ibovespa. No histórico da série de desenvolvimento, a queda máxima recuou de 47,8% para 28,7%. A configuração escolhida somente com 2015–2018 também elevou o retorno anualizado de 17,86% para 18,45%, mas a diferença anual de retorno em 2019–2025 não foi detectável (p = 0,964). Para R$ 100 mil, a estimativa agregada do imposto incremental das reduções foi de R$ 2.195, levando o valor terminal estimado de R$ 643.774 para R$ 634.531, antes da tributação já pertencente à revisão anual. A camada integra a política declarada da Seção 3.4; sua evidência histórica permanece retrospectiva.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de avaliação da camada de linguagem medirá fidelidade, completude, cobertura de riscos e números inventados. Ela não seleciona ativos nem herda resultados de nenhuma versão anterior.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 de valores mobiliários, gestores patrimoniais e escritórios multifamiliares. A política aplicada, os dados e seus hashes, a elegibilidade, os pesos, as ordens, o custo estimado e a aprovação permanecem ligados à mesma decisão, o que reduz o tempo de reconstrução de uma recomendação e permite responder tanto por que um papel entrou quanto por que outro ficou de fora. O benefício comercial não deve ser apresentado como promessa de superar o mercado: o valor a testar está na consistência do processo, na comparação explícita com alternativas e na capacidade de revisão.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perfil declarado adequado ao cliente. O usuário vê quais arquivos e demonstrações estavam disponíveis e quais passaram na validação; a triagem mostra aprovados e reprovados com o respectivo motivo; a carteira candidata apresenta pesos, parcela defensiva, custo e comparação com CDI, Ibovespa e MVO. O profissional revisa a tese, registra riscos, aprova ou rejeita a proposta e informa a justificativa, e o dossiê final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A implantação começa pela definição de fontes, políticas, acessos e aprovadores. No piloto, o sistema acompanha poucas carteiras sem enviar ordens e os dossiês são confrontados com o processo vigente; na operação assistida, a conciliação de custos e posições fecha o ciclo entre proposta e execução. O piloto medirá tempo, completude da evidência, revisões, diferença entre custo estimado e executado e disposição a pagar. Um teste no Espírito Santo atende ao recorte do congresso, mas não permite presumir retenção de capital ou negócios no estado. O produto permanece em estágio de protótipo reprodutível: a janela de 2015 a 2025 descreve a amostra, e a avaliação prospectiva começa nos registros congelados, cujos hashes foram versionados e receberam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recebem, em casos identificados, distribuição imputada pela mediana transversal do ano, fragilidade que atingiu 13,9% da exposição acumulada a ações e 50% da carteira de 2020.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desenvolvimento, a queda máxima diária chegou a 47,8%, ligeiramente pior que os 47,0% do Ibovespa; a camada de proteção reduziu essa marca retrospectiva para 28,7%, mas foi concebida depois da Covid-19 e ainda não demonstrou benefício prospectivo; o imposto de renda variável é apurado por ativo e custo médio; resta conciliar com notas de corretagem. A política vigente limita a exposição por perfil, com quedas máximas retrospectivas entre 9,2% e 28,9%, mas seus parâmetros também foram definidos com conhecimento da amostra e só a janela confirmatória poderá qualificá-los.</w:t>
      </w:r>
    </w:p>
    <w:p>
      <w:pPr>
        <w:pStyle w:val="Normal"/>
      </w:pPr>
      <w:r>
        <w:t>Por fim, o produto não elimina responsabilidade profissional: uso comercial exige enquadramento regulatório, suitability, segurança, contrato de fontes e aprovação humana. O modelo de linguagem não seleciona ativos nem define pesos, e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três perfis da política vigente superaram o CDI em oito de onze anos cada um, com quedas máximas escalonadas conforme o perfil; a incerteza amostral e a imputação parcial impedem tratar esses números como superioridade comprovada. Os resultados negativos são parte da contribuição: reselecionar com mais frequência não ajudou, o modelo de linguagem não acrescentou retorno, a alocação direta por texto produziu vetores aritmeticamente inconsistentes em parte dos anos e a própria busca de configurações se degradou ao ser ampliada, o que motivou a substituição da busca pela declaração.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utiliza para encontrar erros que alteram o próprio resultado, inclusive recusando um selo de reconciliação que os dados não sustentavam, e para medir o limite do próprio procedimento de seleção, declarando a política quando esse limite foi atingido. A viabilidade comercial depende de um piloto que meça ganho de tempo, completude documental, compreensão e disposição a pagar.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O código, os testes, os manifestos e os arquivos de evidência estão em https://github.com/diegogallina1/benevente. A demonstração está em https://benevente-wealth-system.vercel.app/. O repositório documenta fontes, limitações e comandos de reprodução.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