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02/01/2015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CIEL3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29,3%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26,7%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19,2%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42,1%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7,37%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33,8%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5,43%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20,9%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33,1%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-0,91%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48,94%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12,86%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-8,77%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CIEL3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-13,4%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-50,6%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-15,3%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-12,6%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