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Arrojado · decisão de 04/01/2016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15%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85% do alvo; severo: 20%/50% → 60%;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SMLE3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20,40%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-22,5%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15,82%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-50,6%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46,3%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12,91%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11,78%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-48,1%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ENBR3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6,24%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38,6%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LREN3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4,63%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0,879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17,8%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32,2%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Arrojado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31,97%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-5,38%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13,32%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38,93%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SMLE3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28,1%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98,9%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49,5%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ENBR3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20,0%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LREN3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46,5%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