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17,74%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25,38%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16,23%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10,46%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5,11%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21,22%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