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03/01/2022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516,4%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15,70%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25,9%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11,70%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173,1%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15,3%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5,38%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23,49%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52,6%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-1,51%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-23,40%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4,97%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27,9%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-49,6%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-42,0%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