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BENEVENTE_PROFILE_LADDER_V3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ca2476d4d5ce8dac…,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2023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-9,2%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44,0%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15,32%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12,51%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0,989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14,45%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79,0%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41,7%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6,09%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0,966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34,5%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3,74%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96,2%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51,9%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2023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23,90%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13,85%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12,74%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VIVA3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68,0%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UNIP6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-6,2%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KEPL3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22,3%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CURY3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63,7%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ca2476d4d5ce8dac3796bd20aceefd5437ba7b71fc9e126f2493f6f0beba563b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