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12,68%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-42,6%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36,5%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18,34%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22,43%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0,990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30,1%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12,30%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9,35%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STBP3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41,1%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37,9%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3,63%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6,91%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-25,4%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43,08%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5,22%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13,98%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33,95%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89,2%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STBP3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17,5%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CMIN3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16,9%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