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42,1%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3,09%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2,93%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2,77%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2,62%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29,7%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1,52%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0,3%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24,3%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0,769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23,1%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MRVE3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25,7%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TOTS3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0,692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-0,2%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28,8%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12,23%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48,94%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12,86%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-8,77%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-28,3%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21,4%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27,6%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MRVE3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26,6%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TOTS3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-10,3%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