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Conservador · decisão de 02/01/2017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4,7%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55% do alvo; severo: 20%/50% → 25%;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4,24%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40,6%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61,3%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SMLE3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4,42%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35,2%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48,9%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3,73%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265,4%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44,6%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ELET3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3,23%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314,2%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52,8%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CPLE6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3,18%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48,6%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1,70%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2,68%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49,0%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35,7%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BBDC4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1,68%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0,846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72,6%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41,9%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CVCB3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1,44%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98,9%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39,4%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1,42%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2,34%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0,769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40,9%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34,3%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BBAS3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1,15%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3,33%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97,9%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56,1%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SUZB5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0,97%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-22,0%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45,3%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CSAN3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0,83%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65,1%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34,4%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2017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Conservador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14,38%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17,14%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9,86%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26,86%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-7,0%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SMLE3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100,2%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14,6%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ELET3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-13,1%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CPLE6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-8,2%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31,8%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BBDC4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34,4%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CVCB3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113,1%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38,9%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BBAS3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19,2%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SUZB5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47,7%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CSAN3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14,6%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