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C8076"/>
          <w:sz w:val="16"/>
        </w:rPr>
        <w:t>BENEVENTE · POLÍTICA BENEVENTE_PROFILE_LADDER_V3 · DOCUMENTO DE DEMONSTRAÇÃO</w:t>
      </w:r>
    </w:p>
    <w:p>
      <w:pPr>
        <w:spacing w:after="40"/>
      </w:pPr>
      <w:r>
        <w:rPr>
          <w:b/>
          <w:color w:val="102A43"/>
          <w:sz w:val="40"/>
        </w:rPr>
        <w:t>Dossiê de decisão de carteira</w:t>
      </w:r>
    </w:p>
    <w:p>
      <w:pPr>
        <w:spacing w:after="200"/>
      </w:pPr>
      <w:r>
        <w:rPr>
          <w:b w:val="0"/>
          <w:color w:val="0C8076"/>
          <w:sz w:val="26"/>
        </w:rPr>
        <w:t>Perfil Conservador · decisão de 02/01/2018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8F6F2"/>
          </w:tcPr>
          <w:p>
            <w:r/>
            <w:r>
              <w:rPr>
                <w:b/>
                <w:color w:val="0C8076"/>
                <w:sz w:val="16"/>
              </w:rPr>
              <w:t>RECONSTRUÇÃO RETROSPECTIVA SOB POLÍTICA CONGELADA</w:t>
              <w:br/>
            </w:r>
            <w:r>
              <w:rPr>
                <w:sz w:val="17"/>
              </w:rPr>
              <w:t>A política que produz esta decisão foi declarada e congelada em 26/08/2026 (registro SHA-256 ca2476d4d5ce8dac…, aprovado por Diego Gallina); as decisões de 2015 a 2025 são a reconstrução do que ela teria feito, usando apenas informação disponível em cada data. Nenhum parâmetro muda depois do congelamento e a amostra confirmatória começa no primeiro pregão de 2027. Este documento é demonstração de pesquisa, não recomendação de investimento.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1 · Parâmetros declarados do perfil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08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PARÂMETRO</w:t>
            </w:r>
          </w:p>
        </w:tc>
        <w:tc>
          <w:tcPr>
            <w:tcW w:type="dxa" w:w="532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VALOR DECLARADO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Orçamento de renda variável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35%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Emissores na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12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por emissor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4,7%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Perna global (IVVB11, S&amp;P 500 em reais)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7% do patrimônio (um quinto do orçamento de ações)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setorial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3 emissores por setor CVM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Sinal de seleção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Qualidade, valor e momento de doze meses (fatores pré-declarados)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Revisão da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Anual, no primeiro pregão de janeiro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Camada de proteção (só perna doméstica)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alerta: queda 10% ou vol. 30% → expõe 55% do alvo; severo: 20%/50% → 25%; retomada após 10 pregões calmos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2 · Alocação da decisão de 2018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BLOCO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FRAÇÃO DO PATRIMÔNIO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Ações Brasil (cesta selecionada)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28%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S&amp;P 500 em reais (IVVB11, declarado)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7%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Caixa remunerado (Tesouro Selic)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65%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A camada de proteção pode reduzir a fração doméstica dentro do ano, conforme os gatilhos da Seção 1; a perna global e o caixa não participam do sinal.</w:t>
      </w:r>
    </w:p>
    <w:p>
      <w:pPr>
        <w:spacing w:after="80"/>
      </w:pPr>
      <w:r>
        <w:rPr>
          <w:b/>
          <w:color w:val="102A43"/>
          <w:sz w:val="26"/>
        </w:rPr>
        <w:t>3 · Posições — o que era conhecido na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</w:t>
            </w:r>
          </w:p>
        </w:tc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 ANTERIOR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AÇÃO</w:t>
            </w:r>
          </w:p>
        </w:tc>
        <w:tc>
          <w:tcPr>
            <w:tcW w:type="dxa" w:w="119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SCORE</w:t>
            </w:r>
          </w:p>
        </w:tc>
        <w:tc>
          <w:tcPr>
            <w:tcW w:type="dxa" w:w="136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12M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VOL. 12M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MGLU3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4,34%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1,000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513,5%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70,3%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ITSA3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3,72%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0,977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44,3%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23,2%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CVCB3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3,53%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2,65%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aumentou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0,955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121,9%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28,8%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BRSR6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3,08%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0,932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58,8%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46,7%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SAPR4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2,53%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3,70%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reduziu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0,909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24,0%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38,0%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BBSE3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2,46%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0,886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11,6%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25,4%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ITUB3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2,07%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0,864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41,3%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22,4%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BRAP4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1,66%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0,841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127,8%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45,7%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BBDC3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1,50%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0,795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37,1%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27,3%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GRND3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1,07%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0,727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75,0%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28,7%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ABEV3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1,06%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0,705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38,3%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16,9%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EGIE3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0,97%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0,682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12,7%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18,1%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Score, retorno e volatilidade de doze meses eram observáveis na data da decisão. Peso anterior compara com o janeiro anterior do mesmo perfil.</w:t>
      </w:r>
    </w:p>
    <w:p>
      <w:r>
        <w:br w:type="page"/>
      </w:r>
    </w:p>
    <w:p>
      <w:pPr>
        <w:spacing w:after="40"/>
      </w:pPr>
      <w:r>
        <w:rPr>
          <w:b/>
          <w:color w:val="0C8076"/>
          <w:sz w:val="16"/>
        </w:rPr>
        <w:t>INFORMAÇÃO POSTERIOR · SEPARADA DE PROPÓSITO</w:t>
      </w:r>
    </w:p>
    <w:p>
      <w:pPr>
        <w:spacing w:after="80"/>
      </w:pPr>
      <w:r>
        <w:rPr>
          <w:b/>
          <w:color w:val="102A43"/>
          <w:sz w:val="26"/>
        </w:rPr>
        <w:t>4 · O que aconteceu depois</w:t>
      </w:r>
    </w:p>
    <w:p>
      <w:pPr>
        <w:spacing w:after="120"/>
      </w:pPr>
      <w:r>
        <w:rPr>
          <w:b w:val="0"/>
          <w:color w:val="5B6F7C"/>
          <w:sz w:val="18"/>
        </w:rPr>
        <w:t>Nada nesta seção estava disponível na data da decisão, e nada dela pode retroalimentar a regra. Ela existe para auditoria do resultado, não para a decisão.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SÉRIE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RESULTADO DO CICLO 2018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Perfil Conservador (com proteção)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14,31%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Perna global (IVVB11)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9,12%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Tesouro Selic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6,13%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Ibovespa (retorno total)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15,03%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34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NO CICLO SEGUINTE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MGLU3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129,0%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ITSA3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45,4%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CVCB3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23,7%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BRSR6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61,2%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SAPR4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-1,5%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BBSE3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7,6%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ITUB3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26,2%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BRAP4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14,8%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BBDC3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19,4%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GRND3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-11,0%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ABEV3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-26,8%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EGIE3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36,3%</w:t>
            </w:r>
          </w:p>
        </w:tc>
      </w:tr>
    </w:tbl>
    <w:p>
      <w:pPr>
        <w:spacing w:after="80"/>
      </w:pPr>
      <w:r>
        <w:rPr>
          <w:b/>
          <w:color w:val="102A43"/>
          <w:sz w:val="26"/>
        </w:rPr>
        <w:t>5 · Custos e imposto</w:t>
      </w:r>
    </w:p>
    <w:p>
      <w:pPr>
        <w:spacing w:after="120"/>
      </w:pPr>
      <w:r>
        <w:rPr>
          <w:b w:val="0"/>
          <w:sz w:val="18"/>
        </w:rPr>
        <w:t>Os resultados publicados são líquidos de custos modelados: taxas de negociação, deslizamento proporcional à participação no volume médio diário e o custo das trocas da camada de proteção. O imposto de renda variável é apurado por ativo e custo médio, mês a mês, com isenção de R$ 20 mil para ações, compensação de prejuízos e ETF sem isenção (rotina tax_lot_accounting; arrasto medido de 0,7 a 2,1 pontos ao ano conforme o perfil). Falta a conciliação com nota de corretagem, que exige operação real.</w:t>
      </w:r>
    </w:p>
    <w:p>
      <w:pPr>
        <w:spacing w:after="80"/>
      </w:pPr>
      <w:r>
        <w:rPr>
          <w:b/>
          <w:color w:val="102A43"/>
          <w:sz w:val="26"/>
        </w:rPr>
        <w:t>6 · Governança</w:t>
      </w:r>
    </w:p>
    <w:p>
      <w:pPr>
        <w:spacing w:after="120"/>
      </w:pPr>
      <w:r>
        <w:rPr>
          <w:b w:val="0"/>
          <w:sz w:val="18"/>
        </w:rPr>
        <w:t>O sistema calcula e explica; não transmite ordens. Em operação real, cada dossiê carrega o hash dos insumos, a versão da política e a aprovação nominal de um profissional habilitado — a decisão é de quem assina. O modelo de linguagem apenas transforma fatos já aprovados em tese e riscos para revisão humana; desligá-lo não altera nenhum peso.</w:t>
      </w:r>
    </w:p>
    <w:p>
      <w:pPr>
        <w:spacing w:after="80"/>
      </w:pPr>
      <w:r>
        <w:rPr>
          <w:b/>
          <w:color w:val="102A43"/>
          <w:sz w:val="26"/>
        </w:rPr>
        <w:t>7 · Limitações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janela 2015–2025 também orientou fatores e restrições: é amostra de desenvolvimento, não teste prospectivo.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camada de proteção foi desenhada depois das crises da amostra e reage com uma sessão de atraso.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Cerca de um terço do retorno da perna global veio da desvalorização do real; é posição em dólar sem proteção cambial.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Parte das séries históricas depende de proventos imputados; a reconciliação primária integral está pendente.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Retornos retrospectivos não constituem recomendação, promessa de rentabilidade nem evidência de superioridade futura.</w:t>
      </w:r>
    </w:p>
    <w:p>
      <w:pPr>
        <w:spacing w:after="120"/>
      </w:pPr>
      <w:r>
        <w:rPr>
          <w:b w:val="0"/>
          <w:sz w:val="8"/>
        </w:rPr>
      </w:r>
    </w:p>
    <w:p>
      <w:pPr>
        <w:spacing w:after="40"/>
      </w:pPr>
      <w:r>
        <w:rPr>
          <w:b/>
          <w:color w:val="0C8076"/>
          <w:sz w:val="16"/>
        </w:rPr>
        <w:t>VERIFICAÇÃO</w:t>
      </w:r>
    </w:p>
    <w:p>
      <w:pPr>
        <w:spacing w:after="120"/>
      </w:pPr>
      <w:r>
        <w:rPr>
          <w:b w:val="0"/>
          <w:color w:val="5B6F7C"/>
          <w:sz w:val="15"/>
        </w:rPr>
        <w:t>Registro da política: SHA-256 ca2476d4d5ce8dac3796bd20aceefd5437ba7b71fc9e126f2493f6f0beba563b · aprovado por Diego Gallina (diegogallina1) em 25/08/2026 · fonte dos dados desta página: web/composition.json e web/ladder_v2.json, os mesmos arquivos do site benevente.dgo.fi · gerado por tools/build_decision_dossiers.py em 26/08/2026.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