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BENEVENTE_PROFILE_LADDER_V3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Conservador · decisão de 02/01/2020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ca2476d4d5ce8dac…,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12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4,7%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7%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55% do alvo; severo: 20%/50% → 25%;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2020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28%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7%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AZUL4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4,34%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78,0%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36,3%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MRFG3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4,34%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0,985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92,2%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41,5%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4,07%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2,42%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50,9%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23,1%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EQTL3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2,90%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0,955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63,5%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22,5%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CMIG3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2,82%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1,88%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0,940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14,2%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30,3%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LIGT3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2,11%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0,925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46,1%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32,6%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BPAN4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1,87%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0,910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476,7%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70,1%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IRBR3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1,86%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3,02%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0,895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49,7%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30,8%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BRAP4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1,21%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0,881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40,8%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35,6%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POSI3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0,88%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0,866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356,9%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52,7%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TEND3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0,80%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2,43%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0,851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103,3%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33,5%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CSAN3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0,79%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0,836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122,0%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31,1%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2020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Conservador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2,78%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49,93%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2,29%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2,88%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AZUL4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-32,0%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MRFG3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46,6%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-12,4%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EQTL3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-0,4%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CMIG3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13,1%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LIGT3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1,7%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BPAN4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-10,9%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IRBR3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-77,7%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BRAP4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81,8%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POSI3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-49,4%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TEND3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-2,6%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CSAN3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7,8%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ca2476d4d5ce8dac3796bd20aceefd5437ba7b71fc9e126f2493f6f0beba563b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