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BENEVENTE_PROFILE_LADDER_V3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Conservador · decisão de 02/01/2024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ca2476d4d5ce8dac…,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12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4,7%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7%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55% do alvo; severo: 20%/50% → 25%;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2024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28%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7%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CURY3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4,34%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3,70%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0,989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59,4%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37,7%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VIVA3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4,34%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6,27%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62,8%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36,4%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CMIN3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3,49%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122,8%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36,2%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3,26%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1,98%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0,966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11,1%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19,9%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PLPL3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2,61%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0,955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199,8%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53,1%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LEVE3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2,45%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0,944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65,7%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43,0%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KEPL3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2,34%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4,56%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0,933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17,1%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36,6%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TEND3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1,64%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0,921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228,6%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69,0%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PETR4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1,01%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0,910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92,0%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32,3%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CEAB3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0,92%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0,899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260,8%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75,9%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UNIP6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0,80%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3,50%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0,888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-10,4%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28,6%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WEGE3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0,80%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0,876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-2,6%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25,2%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2024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Conservador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8,44%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55,66%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10,43%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-10,36%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CURY3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8,0%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VIVA3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-42,5%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CMIN3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-26,8%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15,1%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PLPL3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-15,9%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LEVE3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-13,6%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KEPL3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-4,3%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TEND3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-10,9%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PETR4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17,4%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CEAB3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7,0%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UNIP6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-25,0%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WEGE3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46,9%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ca2476d4d5ce8dac3796bd20aceefd5437ba7b71fc9e126f2493f6f0beba563b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