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42,1%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1,93%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0,3%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24,3%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48,94%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-8,77%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CIEL3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21,4%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