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8,96%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9,26%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35,2%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6,73%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265,4%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5,65%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5,56%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2,36%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3,62%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49,0%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2,33%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72,6%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98,9%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39,4%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17,42%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17,14%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26,86%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-8,2%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31,8%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34,4%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113,1%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