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2018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513,5%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44,3%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23,2%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6,83%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3,21%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121,9%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5,74%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58,8%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4,43%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6,48%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4,26%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0,886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11,6%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3,32%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0,864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41,3%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127,8%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45,7%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24,36%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9,12%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6,13%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15,03%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129,0%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45,4%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23,7%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61,2%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7,6%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26,2%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14,8%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