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17,45%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9,54%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7,20%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8,54%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148,2%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0,854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31,3%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25,97%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39,87%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5,72%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91,5%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