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BENEVENTE_PROFILE_LADDER_V3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Equilibrado · decisão de 02/01/2020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ca2476d4d5ce8dac…,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55%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8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11,0%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11%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70% do alvo; severo: 20%/50% → 40%;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2020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AZUL4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9,79%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78,0%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MRFG3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9,79%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0,985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92,2%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41,5%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7,94%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3,57%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50,9%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23,1%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EQTL3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4,85%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63,5%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22,5%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CMIG3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4,63%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2,81%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14,2%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30,3%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LIGT3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2,77%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0,925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46,1%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32,6%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BPAN4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2,13%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0,910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476,7%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70,1%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IRBR3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2,10%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4,74%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0,895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49,7%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30,8%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2020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Equilibrado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4,21%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49,93%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2,29%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2,88%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AZUL4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-32,0%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MRFG3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46,6%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-12,4%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EQTL3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-0,4%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CMIG3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13,1%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LIGT3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1,7%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BPAN4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-10,9%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IRBR3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-77,7%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ca2476d4d5ce8dac3796bd20aceefd5437ba7b71fc9e126f2493f6f0beba563b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