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04/01/2021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14,32%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55,5%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179,3%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9,65%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6,94%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-11,5%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40,5%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4,82%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4,82%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CSMG3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3,65%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-9,7%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56,1%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BEEF3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-12,4%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60,4%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2,01%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125,5%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57,5%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1,49%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5,22%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58,7%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13,11%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40,89%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4,29%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-12,14%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58,6%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58,5%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-26,4%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CSMG3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BEEF3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15,8%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37,0%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