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Equilibrado · decisão de 02/01/2023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ca2476d4d5ce8dac…,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55%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8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11,0%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11%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70% do alvo; severo: 20%/50% → 40%;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9,79%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-9,2%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44,0%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UNIP6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9,29%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7,57%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0,989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32,4%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KEPL3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8,92%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79,0%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41,7%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5,38%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5,11%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0,966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37,0%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34,5%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4,39%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96,2%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51,9%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2,90%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74,6%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25,2%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PRIO3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1,75%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85,6%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47,4%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RECV3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1,58%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0,921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93,8%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49,6%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2023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Equilibrado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19,00%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13,85%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12,74%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21,95%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68,0%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UNIP6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-6,2%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KEPL3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22,3%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BRAP4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63,7%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11,8%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PRIO3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25,5%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RECV3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-30,2%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ca2476d4d5ce8dac3796bd20aceefd5437ba7b71fc9e126f2493f6f0beba563b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