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10,69%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0,990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5,69%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-42,6%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8,70%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6,40%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15,4%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STBP3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4,48%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41,1%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37,9%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3,44%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4,46%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-25,4%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2,95%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3,42%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-14,6%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2,65%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45,8%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2,20%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3,18%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-15,8%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25,2%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28,47%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5,22%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13,98%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33,95%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112,8%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89,2%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11,5%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STBP3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17,5%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16,9%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72,6%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40,6%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