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7,37%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-0,91%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