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BENEVENTE_PROFILE_LADDER_V4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Arrojado · decisão de 04/01/2016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4d8fb114c9218823…,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75%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24,0%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15%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85% do alvo; severo: 20%/50% → 60%;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2016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15%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SMLE3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20,40%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-22,5%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43,5%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BRSR6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15,82%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-50,6%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46,3%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CMIG4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12,91%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11,78%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0,939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-48,1%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43,9%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ENBR3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6,24%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0,909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38,6%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LREN3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4,63%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0,879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17,8%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32,2%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2016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Arrojado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31,97%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-5,38%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13,32%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38,93%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SMLE3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28,1%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BRSR6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98,9%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CMIG4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49,5%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ENBR3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20,0%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LREN3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46,5%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4d8fb114c92188239d456370550b173cab8fadbdd5f5a2ab1cfc1bd8648400ba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