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13,73%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18,59%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35,2%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8,57%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5,45%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5,18%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48,6%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23,58%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17,14%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9,86%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26,86%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ELET3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CPLE6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-8,2%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