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Arrojado · decisão de 02/01/2018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15%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85% do alvo; severo: 20%/50% → 60%;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2018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513,5%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70,3%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12,92%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44,3%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23,2%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11,79%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121,9%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28,8%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9,07%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58,8%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46,7%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5,82%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7,83%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0,909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24,0%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38,0%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2018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Arrojado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41,51%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9,12%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6,13%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15,03%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129,0%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45,4%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CVCB3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23,7%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61,2%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SAPR4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-1,5%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