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02/01/2019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2019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17,90%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31,27%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160,8%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17,07%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9,78%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62,0%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38,4%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14,97%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13,6%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49,4%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166,7%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27,4%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4,26%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148,2%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39,9%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36,71%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39,87%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5,72%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31,95%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106,0%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-0,1%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64,1%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44,9%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4,4%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