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78,0%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17,58%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92,2%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12,12%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5,21%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4,70%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3,21%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30,3%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7,64%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49,93%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2,88%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-32,0%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13,1%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