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04/01/2021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17,74%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179,3%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17,04%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25,38%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55,5%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16,23%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10,46%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40,5%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5,11%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21,22%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40,89%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-12,14%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58,6%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CSMG3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-17,0%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