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27,34%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19,21%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4,89%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59,4%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37,7%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8,72%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7,52%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11,1%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4,15%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199,8%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53,1%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2,36%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55,66%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10,43%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-10,36%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15,1%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-15,9%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