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Conservador · decisão de 02/01/2015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4,7%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55% do alvo; severo: 20%/50% → 25%;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CIEL3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29,3%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26,7%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19,2%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42,1%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3,09%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26,2%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33,8%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2,93%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37,0%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27,2%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2,77%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20,9%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33,1%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BBDC4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2,62%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26,8%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PSSA3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2,15%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13,6%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29,7%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ABEV3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1,52%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0,3%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24,3%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1,29%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0,769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23,1%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22,9%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MRVE3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1,05%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-11,9%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LREN3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1,00%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25,7%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27,7%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TOTS3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0,90%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0,692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-0,2%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28,8%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Conservador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12,23%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48,94%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12,86%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-8,77%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CIEL3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-13,4%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-50,6%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-15,3%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-12,6%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BBDC4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-28,3%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PSSA3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ABEV3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21,4%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27,6%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MRVE3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26,6%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LREN3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14,8%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TOTS3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-10,3%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