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04/01/2016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3,56%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2,04%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-48,1%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1,10%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2,64%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-30,1%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2,30%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-14,5%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RADL3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56,1%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1,76%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0,697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23,8%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0,636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20,33%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-5,38%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13,32%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38,93%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28,1%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RADL3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75,8%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PSSA3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-1,8%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