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BENEVENTE_PROFILE_LADDER_V4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Conservador · decisão de 02/01/2018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4d8fb114c9218823…,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12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4,7%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7%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55% do alvo; severo: 20%/50% → 25%;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2018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28%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7%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MGLU3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513,5%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70,3%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ITSA3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3,72%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44,3%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23,2%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CVCB3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3,53%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2,65%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121,9%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28,8%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BRSR6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3,08%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0,932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58,8%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46,7%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SAPR4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2,53%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3,70%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0,909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24,0%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38,0%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2,46%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0,886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11,6%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25,4%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ITUB3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2,07%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0,864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41,3%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22,4%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BRAP4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1,66%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0,841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127,8%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45,7%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BBDC3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1,50%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0,795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37,1%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27,3%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GRND3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1,07%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0,727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75,0%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28,7%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ABEV3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1,06%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0,705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38,3%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16,9%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EGIE3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0,97%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0,682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12,7%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18,1%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2018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Conservador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14,31%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9,12%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6,13%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15,03%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MGLU3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129,0%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ITSA3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45,4%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CVCB3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23,7%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BRSR6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61,2%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SAPR4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-1,5%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7,6%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ITUB3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26,2%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BRAP4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14,8%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BBDC3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19,4%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GRND3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-11,0%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ABEV3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-26,8%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EGIE3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36,3%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4d8fb114c92188239d456370550b173cab8fadbdd5f5a2ab1cfc1bd8648400ba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