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04/01/2021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40,5%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6,30%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2,86%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2,57%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60,4%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57,5%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1,39%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3,15%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58,7%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BMGB4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-28,3%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JHSF3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74,6%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73,6%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B3SA3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6,83%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40,89%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-12,14%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BMGB4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JHSF3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B3SA3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