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03/01/2022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516,4%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4,08%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25,9%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3,76%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173,1%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3,37%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15,3%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6,47%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2,62%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1,88%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-15,6%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50,7%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VALE3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ENAT3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0,49%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6,47%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57,2%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SIMH3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0,43%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60,2%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-23,40%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4,97%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27,9%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-49,6%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36,1%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-30,4%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VALE3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ENAT3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-57,9%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SIMH3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-35,0%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